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8D735E" w14:textId="77777777" w:rsidR="00777C94" w:rsidRPr="00187ECC" w:rsidRDefault="00777C94" w:rsidP="002163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/>
          <w:b/>
          <w:sz w:val="24"/>
          <w:szCs w:val="24"/>
          <w:u w:val="single"/>
        </w:rPr>
      </w:pPr>
    </w:p>
    <w:p w14:paraId="6E8F8B01" w14:textId="77777777" w:rsidR="00777C94" w:rsidRPr="00187ECC" w:rsidRDefault="00777C94" w:rsidP="00216307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center"/>
        <w:rPr>
          <w:rFonts w:eastAsia="Times New Roman"/>
          <w:b/>
          <w:sz w:val="24"/>
          <w:szCs w:val="24"/>
        </w:rPr>
      </w:pPr>
      <w:r w:rsidRPr="00187ECC">
        <w:rPr>
          <w:rFonts w:eastAsia="Times New Roman"/>
          <w:b/>
          <w:sz w:val="24"/>
          <w:szCs w:val="24"/>
        </w:rPr>
        <w:t>Observatorio Jurisprudencial</w:t>
      </w:r>
    </w:p>
    <w:p w14:paraId="04D4DE95" w14:textId="78602FB4" w:rsidR="00777C94" w:rsidRPr="00083831" w:rsidRDefault="00777C94" w:rsidP="00216307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center"/>
        <w:rPr>
          <w:rFonts w:eastAsia="Times New Roman"/>
          <w:sz w:val="24"/>
          <w:szCs w:val="24"/>
        </w:rPr>
      </w:pPr>
      <w:r w:rsidRPr="00EF08A9">
        <w:rPr>
          <w:rFonts w:eastAsia="Times New Roman"/>
          <w:sz w:val="24"/>
          <w:szCs w:val="24"/>
        </w:rPr>
        <w:t>Programa Persona, Familias y Derecho</w:t>
      </w:r>
    </w:p>
    <w:p w14:paraId="3D5D7716" w14:textId="77777777" w:rsidR="00777C94" w:rsidRDefault="00777C94" w:rsidP="00216307">
      <w:pPr>
        <w:spacing w:line="276" w:lineRule="auto"/>
        <w:jc w:val="both"/>
      </w:pPr>
    </w:p>
    <w:p w14:paraId="4DF39AFB" w14:textId="77777777" w:rsidR="00777C94" w:rsidRDefault="00777C94" w:rsidP="00216307">
      <w:pPr>
        <w:spacing w:line="276" w:lineRule="auto"/>
        <w:jc w:val="both"/>
      </w:pPr>
    </w:p>
    <w:tbl>
      <w:tblPr>
        <w:tblStyle w:val="Tablaconcuadrcula"/>
        <w:tblpPr w:leftFromText="141" w:rightFromText="141" w:vertAnchor="text" w:horzAnchor="margin" w:tblpXSpec="center" w:tblpY="-54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88019B" w:rsidRPr="00777C94" w14:paraId="30E9396C" w14:textId="77777777" w:rsidTr="00D00731">
        <w:tc>
          <w:tcPr>
            <w:tcW w:w="4414" w:type="dxa"/>
          </w:tcPr>
          <w:p w14:paraId="69C78A17" w14:textId="77777777" w:rsidR="0088019B" w:rsidRPr="00777C94" w:rsidRDefault="0088019B" w:rsidP="00216307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Tribunal</w:t>
            </w:r>
          </w:p>
        </w:tc>
        <w:tc>
          <w:tcPr>
            <w:tcW w:w="4414" w:type="dxa"/>
          </w:tcPr>
          <w:p w14:paraId="27097564" w14:textId="77777777" w:rsidR="0088019B" w:rsidRPr="00777C94" w:rsidRDefault="0088019B" w:rsidP="00216307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Corte de Apelaciones de La Serena</w:t>
            </w:r>
          </w:p>
        </w:tc>
      </w:tr>
      <w:tr w:rsidR="0088019B" w:rsidRPr="00777C94" w14:paraId="55EE26F1" w14:textId="77777777" w:rsidTr="00D00731">
        <w:tc>
          <w:tcPr>
            <w:tcW w:w="4414" w:type="dxa"/>
          </w:tcPr>
          <w:p w14:paraId="7E4CB1A2" w14:textId="3C9CF816" w:rsidR="0088019B" w:rsidRPr="00777C94" w:rsidRDefault="0088019B" w:rsidP="00216307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Rol</w:t>
            </w:r>
            <w:r w:rsidR="00777C94" w:rsidRPr="00777C94">
              <w:rPr>
                <w:b/>
                <w:bCs/>
                <w:sz w:val="24"/>
                <w:szCs w:val="24"/>
              </w:rPr>
              <w:t>/RIT</w:t>
            </w:r>
          </w:p>
        </w:tc>
        <w:tc>
          <w:tcPr>
            <w:tcW w:w="4414" w:type="dxa"/>
          </w:tcPr>
          <w:p w14:paraId="5F47860A" w14:textId="08F6C88A" w:rsidR="0088019B" w:rsidRPr="00777C94" w:rsidRDefault="001C2438" w:rsidP="00216307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492-2022</w:t>
            </w:r>
          </w:p>
        </w:tc>
      </w:tr>
      <w:tr w:rsidR="0088019B" w:rsidRPr="00777C94" w14:paraId="37987E20" w14:textId="77777777" w:rsidTr="00D00731">
        <w:tc>
          <w:tcPr>
            <w:tcW w:w="4414" w:type="dxa"/>
          </w:tcPr>
          <w:p w14:paraId="2C58C850" w14:textId="3B841F9E" w:rsidR="0088019B" w:rsidRPr="00777C94" w:rsidRDefault="0088019B" w:rsidP="00D00731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 xml:space="preserve">Fecha de </w:t>
            </w:r>
            <w:r w:rsidR="00D00731">
              <w:rPr>
                <w:b/>
                <w:bCs/>
                <w:sz w:val="24"/>
                <w:szCs w:val="24"/>
              </w:rPr>
              <w:t>la sentencia</w:t>
            </w:r>
          </w:p>
        </w:tc>
        <w:tc>
          <w:tcPr>
            <w:tcW w:w="4414" w:type="dxa"/>
          </w:tcPr>
          <w:p w14:paraId="650979F4" w14:textId="1B24E2C5" w:rsidR="0088019B" w:rsidRPr="00777C94" w:rsidRDefault="0088019B" w:rsidP="00216307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2</w:t>
            </w:r>
            <w:r w:rsidR="001C2438" w:rsidRPr="00777C94">
              <w:rPr>
                <w:sz w:val="24"/>
                <w:szCs w:val="24"/>
              </w:rPr>
              <w:t xml:space="preserve">3 </w:t>
            </w:r>
            <w:r w:rsidRPr="00777C94">
              <w:rPr>
                <w:sz w:val="24"/>
                <w:szCs w:val="24"/>
              </w:rPr>
              <w:t xml:space="preserve">de </w:t>
            </w:r>
            <w:r w:rsidR="001C2438" w:rsidRPr="00777C94">
              <w:rPr>
                <w:sz w:val="24"/>
                <w:szCs w:val="24"/>
              </w:rPr>
              <w:t>noviembre</w:t>
            </w:r>
            <w:r w:rsidRPr="00777C94">
              <w:rPr>
                <w:sz w:val="24"/>
                <w:szCs w:val="24"/>
              </w:rPr>
              <w:t xml:space="preserve"> de 202</w:t>
            </w:r>
            <w:r w:rsidR="001C2438" w:rsidRPr="00777C94">
              <w:rPr>
                <w:sz w:val="24"/>
                <w:szCs w:val="24"/>
              </w:rPr>
              <w:t>2</w:t>
            </w:r>
          </w:p>
        </w:tc>
      </w:tr>
      <w:tr w:rsidR="0088019B" w:rsidRPr="00777C94" w14:paraId="320C5416" w14:textId="77777777" w:rsidTr="00D00731">
        <w:tc>
          <w:tcPr>
            <w:tcW w:w="4414" w:type="dxa"/>
          </w:tcPr>
          <w:p w14:paraId="702B6E75" w14:textId="5D359069" w:rsidR="0088019B" w:rsidRPr="00777C94" w:rsidRDefault="0088019B" w:rsidP="00216307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Recurso</w:t>
            </w:r>
            <w:r w:rsidR="00777C94" w:rsidRPr="00777C94">
              <w:rPr>
                <w:b/>
                <w:bCs/>
                <w:sz w:val="24"/>
                <w:szCs w:val="24"/>
              </w:rPr>
              <w:t>/Materia</w:t>
            </w:r>
          </w:p>
        </w:tc>
        <w:tc>
          <w:tcPr>
            <w:tcW w:w="4414" w:type="dxa"/>
          </w:tcPr>
          <w:p w14:paraId="4D3980BB" w14:textId="5A1AA290" w:rsidR="0088019B" w:rsidRPr="00777C94" w:rsidRDefault="001C2438" w:rsidP="00216307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Apelación sentencia de alimentos</w:t>
            </w:r>
          </w:p>
        </w:tc>
      </w:tr>
      <w:tr w:rsidR="0088019B" w:rsidRPr="00777C94" w14:paraId="30EEEAD6" w14:textId="77777777" w:rsidTr="00D00731">
        <w:tc>
          <w:tcPr>
            <w:tcW w:w="4414" w:type="dxa"/>
          </w:tcPr>
          <w:p w14:paraId="1E0294C7" w14:textId="77777777" w:rsidR="0088019B" w:rsidRPr="00777C94" w:rsidRDefault="0088019B" w:rsidP="00216307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Resultado</w:t>
            </w:r>
          </w:p>
        </w:tc>
        <w:tc>
          <w:tcPr>
            <w:tcW w:w="4414" w:type="dxa"/>
          </w:tcPr>
          <w:p w14:paraId="64126664" w14:textId="7C5AF367" w:rsidR="0088019B" w:rsidRPr="00777C94" w:rsidRDefault="0088019B" w:rsidP="00216307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Confirmada</w:t>
            </w:r>
            <w:r w:rsidR="001C2438" w:rsidRPr="00777C94">
              <w:rPr>
                <w:sz w:val="24"/>
                <w:szCs w:val="24"/>
              </w:rPr>
              <w:t xml:space="preserve"> con declaración</w:t>
            </w:r>
          </w:p>
        </w:tc>
      </w:tr>
      <w:tr w:rsidR="0088019B" w:rsidRPr="00777C94" w14:paraId="26122A7D" w14:textId="77777777" w:rsidTr="00D00731">
        <w:tc>
          <w:tcPr>
            <w:tcW w:w="4414" w:type="dxa"/>
          </w:tcPr>
          <w:p w14:paraId="58B3EBC8" w14:textId="77777777" w:rsidR="0088019B" w:rsidRPr="00777C94" w:rsidRDefault="0088019B" w:rsidP="00216307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Caratulado</w:t>
            </w:r>
          </w:p>
        </w:tc>
        <w:tc>
          <w:tcPr>
            <w:tcW w:w="4414" w:type="dxa"/>
          </w:tcPr>
          <w:p w14:paraId="096941E9" w14:textId="77777777" w:rsidR="0088019B" w:rsidRPr="00777C94" w:rsidRDefault="0088019B" w:rsidP="00216307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ANONIMIZADO</w:t>
            </w:r>
          </w:p>
        </w:tc>
      </w:tr>
    </w:tbl>
    <w:p w14:paraId="6E494ADE" w14:textId="77777777" w:rsidR="00EA507B" w:rsidRDefault="00EA507B" w:rsidP="00216307">
      <w:pPr>
        <w:spacing w:line="276" w:lineRule="auto"/>
        <w:jc w:val="both"/>
        <w:rPr>
          <w:sz w:val="24"/>
          <w:szCs w:val="24"/>
        </w:rPr>
      </w:pPr>
    </w:p>
    <w:p w14:paraId="3249061C" w14:textId="77777777" w:rsidR="00777C94" w:rsidRPr="00187ECC" w:rsidRDefault="00777C94" w:rsidP="0021630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rPr>
          <w:rFonts w:eastAsia="Times New Roman"/>
          <w:b/>
          <w:sz w:val="24"/>
          <w:szCs w:val="24"/>
        </w:rPr>
      </w:pPr>
      <w:r w:rsidRPr="00187ECC">
        <w:rPr>
          <w:rFonts w:eastAsia="Times New Roman"/>
          <w:b/>
          <w:sz w:val="24"/>
          <w:szCs w:val="24"/>
        </w:rPr>
        <w:t>RESUMEN</w:t>
      </w:r>
    </w:p>
    <w:p w14:paraId="7FFF77B9" w14:textId="382E8406" w:rsidR="00777C94" w:rsidRPr="00777C94" w:rsidRDefault="004D5C2C" w:rsidP="00216307">
      <w:pPr>
        <w:spacing w:line="276" w:lineRule="auto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Se confirma la sentencia</w:t>
      </w:r>
      <w:r w:rsidR="00B568AF">
        <w:rPr>
          <w:rFonts w:eastAsia="Times New Roman"/>
          <w:sz w:val="24"/>
          <w:szCs w:val="24"/>
        </w:rPr>
        <w:t xml:space="preserve"> </w:t>
      </w:r>
      <w:r w:rsidR="00D00731">
        <w:rPr>
          <w:rFonts w:eastAsia="Times New Roman"/>
          <w:sz w:val="24"/>
          <w:szCs w:val="24"/>
        </w:rPr>
        <w:t xml:space="preserve">sobre </w:t>
      </w:r>
      <w:r w:rsidR="00B568AF">
        <w:rPr>
          <w:rFonts w:eastAsia="Times New Roman"/>
          <w:sz w:val="24"/>
          <w:szCs w:val="24"/>
        </w:rPr>
        <w:t xml:space="preserve">pago de la pensión de alimentos del niño, con declaración de establecer el pago de la suma fijada en primera instancia a partir del mes siguiente a la notificación del fallo, dado que en los hechos existieron alimentos provisorios, por lo que no hubo incumplimiento por parte </w:t>
      </w:r>
      <w:r w:rsidR="00BA58B8">
        <w:rPr>
          <w:rFonts w:eastAsia="Times New Roman"/>
          <w:sz w:val="24"/>
          <w:szCs w:val="24"/>
        </w:rPr>
        <w:t>del progenitor</w:t>
      </w:r>
      <w:bookmarkStart w:id="0" w:name="_GoBack"/>
      <w:bookmarkEnd w:id="0"/>
      <w:r w:rsidR="00BA58B8">
        <w:rPr>
          <w:rFonts w:eastAsia="Times New Roman"/>
          <w:sz w:val="24"/>
          <w:szCs w:val="24"/>
        </w:rPr>
        <w:t xml:space="preserve"> demandado. </w:t>
      </w:r>
    </w:p>
    <w:p w14:paraId="2E03C6B9" w14:textId="77777777" w:rsidR="00777C94" w:rsidRDefault="00777C94" w:rsidP="00216307">
      <w:pPr>
        <w:spacing w:line="276" w:lineRule="auto"/>
        <w:jc w:val="both"/>
        <w:rPr>
          <w:rFonts w:eastAsia="Times New Roman"/>
          <w:sz w:val="24"/>
          <w:szCs w:val="24"/>
        </w:rPr>
      </w:pPr>
    </w:p>
    <w:p w14:paraId="2069B610" w14:textId="77777777" w:rsidR="00777C94" w:rsidRDefault="00777C94" w:rsidP="00216307">
      <w:pPr>
        <w:spacing w:line="276" w:lineRule="auto"/>
        <w:jc w:val="both"/>
        <w:rPr>
          <w:rFonts w:eastAsia="Times New Roman"/>
          <w:sz w:val="24"/>
          <w:szCs w:val="24"/>
        </w:rPr>
      </w:pPr>
    </w:p>
    <w:p w14:paraId="30B4A960" w14:textId="77777777" w:rsidR="00777C94" w:rsidRDefault="00777C94" w:rsidP="0021630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rPr>
          <w:rFonts w:eastAsia="Times New Roman"/>
          <w:b/>
          <w:sz w:val="24"/>
          <w:szCs w:val="24"/>
        </w:rPr>
      </w:pPr>
      <w:r w:rsidRPr="00187ECC">
        <w:rPr>
          <w:rFonts w:eastAsia="Times New Roman"/>
          <w:b/>
          <w:sz w:val="24"/>
          <w:szCs w:val="24"/>
        </w:rPr>
        <w:t>HECHOS</w:t>
      </w:r>
    </w:p>
    <w:p w14:paraId="452B9D0E" w14:textId="60BDB83B" w:rsidR="00083831" w:rsidRDefault="00083831" w:rsidP="00216307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La Corte comparte tanto los hechos acreditados en primera instancia, en cuanto a los gastos mensuales del niño y los antecedentes económicos de los progenitores, como sus conclusiones jurídicas. </w:t>
      </w:r>
    </w:p>
    <w:p w14:paraId="34632938" w14:textId="3E629FD3" w:rsidR="004D5C2C" w:rsidRPr="00083831" w:rsidRDefault="004D5C2C" w:rsidP="00D00731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Acredita que la obligación del pago de la pensión de alimentos existió y fue pagada, </w:t>
      </w:r>
      <w:r w:rsidRPr="004D5C2C">
        <w:rPr>
          <w:rFonts w:eastAsia="Times New Roman"/>
          <w:bCs/>
          <w:sz w:val="24"/>
          <w:szCs w:val="24"/>
        </w:rPr>
        <w:t>pues hubo alimentos provisorios fijados hace bastante tiempo atrás, los que se mantuvieron inalterables durante toda la secuela del juicio, cuya tardanza no es de cargo de las partes</w:t>
      </w:r>
      <w:r>
        <w:rPr>
          <w:rFonts w:eastAsia="Times New Roman"/>
          <w:bCs/>
          <w:sz w:val="24"/>
          <w:szCs w:val="24"/>
        </w:rPr>
        <w:t>.</w:t>
      </w:r>
    </w:p>
    <w:p w14:paraId="1809EACF" w14:textId="77777777" w:rsidR="00777C94" w:rsidRDefault="00777C94" w:rsidP="0021630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/>
          <w:sz w:val="24"/>
          <w:szCs w:val="24"/>
        </w:rPr>
      </w:pPr>
      <w:r w:rsidRPr="00187ECC">
        <w:rPr>
          <w:rFonts w:eastAsia="Times New Roman"/>
          <w:b/>
          <w:sz w:val="24"/>
          <w:szCs w:val="24"/>
        </w:rPr>
        <w:t>DERECHO</w:t>
      </w:r>
    </w:p>
    <w:p w14:paraId="155C304D" w14:textId="54B3EFC3" w:rsidR="00083831" w:rsidRDefault="00083831" w:rsidP="00216307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>La Corte estima que la decisión permanecerá sin alteración salvo en cuanto al momento desde el cual procederá el pago de la pensión.</w:t>
      </w:r>
    </w:p>
    <w:p w14:paraId="63702363" w14:textId="2F9DD507" w:rsidR="00083831" w:rsidRDefault="00083831" w:rsidP="00216307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lastRenderedPageBreak/>
        <w:t>Si bien</w:t>
      </w:r>
      <w:r w:rsidR="004D5C2C">
        <w:rPr>
          <w:rFonts w:eastAsia="Times New Roman"/>
          <w:bCs/>
          <w:sz w:val="24"/>
          <w:szCs w:val="24"/>
        </w:rPr>
        <w:t xml:space="preserve"> </w:t>
      </w:r>
      <w:r w:rsidR="004D5C2C" w:rsidRPr="004D5C2C">
        <w:rPr>
          <w:rFonts w:eastAsia="Times New Roman"/>
          <w:bCs/>
          <w:sz w:val="24"/>
          <w:szCs w:val="24"/>
        </w:rPr>
        <w:t>el artículo 331 del Código Civil establece que “los alimentos se deben desde la primera demanda</w:t>
      </w:r>
      <w:r w:rsidR="00D00731">
        <w:rPr>
          <w:rFonts w:eastAsia="Times New Roman"/>
          <w:bCs/>
          <w:sz w:val="24"/>
          <w:szCs w:val="24"/>
        </w:rPr>
        <w:t xml:space="preserve"> (</w:t>
      </w:r>
      <w:r w:rsidR="004D5C2C" w:rsidRPr="004D5C2C">
        <w:rPr>
          <w:rFonts w:eastAsia="Times New Roman"/>
          <w:bCs/>
          <w:sz w:val="24"/>
          <w:szCs w:val="24"/>
        </w:rPr>
        <w:t>...</w:t>
      </w:r>
      <w:r w:rsidR="00D00731">
        <w:rPr>
          <w:rFonts w:eastAsia="Times New Roman"/>
          <w:bCs/>
          <w:sz w:val="24"/>
          <w:szCs w:val="24"/>
        </w:rPr>
        <w:t>)</w:t>
      </w:r>
      <w:r w:rsidR="004D5C2C" w:rsidRPr="004D5C2C">
        <w:rPr>
          <w:rFonts w:eastAsia="Times New Roman"/>
          <w:bCs/>
          <w:sz w:val="24"/>
          <w:szCs w:val="24"/>
        </w:rPr>
        <w:t>”</w:t>
      </w:r>
      <w:r w:rsidR="004D5C2C">
        <w:rPr>
          <w:rFonts w:eastAsia="Times New Roman"/>
          <w:bCs/>
          <w:sz w:val="24"/>
          <w:szCs w:val="24"/>
        </w:rPr>
        <w:t xml:space="preserve">, al acreditarse el otorgamiento de alimentos provisorios, esta nueva pensión operará </w:t>
      </w:r>
      <w:r w:rsidR="00D00731">
        <w:rPr>
          <w:rFonts w:eastAsia="Times New Roman"/>
          <w:bCs/>
          <w:sz w:val="24"/>
          <w:szCs w:val="24"/>
        </w:rPr>
        <w:t xml:space="preserve">solo </w:t>
      </w:r>
      <w:r w:rsidR="004D5C2C">
        <w:rPr>
          <w:rFonts w:eastAsia="Times New Roman"/>
          <w:bCs/>
          <w:sz w:val="24"/>
          <w:szCs w:val="24"/>
        </w:rPr>
        <w:t xml:space="preserve">hacia el futuro. </w:t>
      </w:r>
    </w:p>
    <w:p w14:paraId="114DA0D3" w14:textId="46376AC3" w:rsidR="004D5C2C" w:rsidRDefault="00D00731" w:rsidP="00216307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>La Corte estima que</w:t>
      </w:r>
      <w:r w:rsidR="004D5C2C">
        <w:rPr>
          <w:rFonts w:eastAsia="Times New Roman"/>
          <w:bCs/>
          <w:sz w:val="24"/>
          <w:szCs w:val="24"/>
        </w:rPr>
        <w:t xml:space="preserve"> sostener lo contrario, </w:t>
      </w:r>
      <w:r w:rsidR="004D5C2C" w:rsidRPr="004D5C2C">
        <w:rPr>
          <w:rFonts w:eastAsia="Times New Roman"/>
          <w:bCs/>
          <w:sz w:val="24"/>
          <w:szCs w:val="24"/>
        </w:rPr>
        <w:t>pondría al alimentante en una situación compleja, debiendo soportar consecuencias legales establecidas para los progenitores</w:t>
      </w:r>
      <w:r w:rsidR="004D5C2C" w:rsidRPr="004D5C2C">
        <w:t xml:space="preserve"> </w:t>
      </w:r>
      <w:r w:rsidR="004D5C2C" w:rsidRPr="004D5C2C">
        <w:rPr>
          <w:rFonts w:eastAsia="Times New Roman"/>
          <w:bCs/>
          <w:sz w:val="24"/>
          <w:szCs w:val="24"/>
        </w:rPr>
        <w:t>que incumplan el pago de las pensiones alimenticias, conducta que disiente de lo observado en autos</w:t>
      </w:r>
      <w:r w:rsidR="004D5C2C">
        <w:rPr>
          <w:rFonts w:eastAsia="Times New Roman"/>
          <w:bCs/>
          <w:sz w:val="24"/>
          <w:szCs w:val="24"/>
        </w:rPr>
        <w:t>.</w:t>
      </w:r>
    </w:p>
    <w:p w14:paraId="4B573C95" w14:textId="340E0560" w:rsidR="004D5C2C" w:rsidRPr="00083831" w:rsidRDefault="004D5C2C" w:rsidP="00216307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Esta decisión no se estima contraria el interés superior del niño, pues este </w:t>
      </w:r>
      <w:r w:rsidRPr="004D5C2C">
        <w:rPr>
          <w:rFonts w:eastAsia="Times New Roman"/>
          <w:bCs/>
          <w:sz w:val="24"/>
          <w:szCs w:val="24"/>
        </w:rPr>
        <w:t xml:space="preserve">contó con apoyo para su subsistencia y desarrollo, como exige la Convención sobre </w:t>
      </w:r>
      <w:r w:rsidR="00D00731">
        <w:rPr>
          <w:rFonts w:eastAsia="Times New Roman"/>
          <w:bCs/>
          <w:sz w:val="24"/>
          <w:szCs w:val="24"/>
        </w:rPr>
        <w:t>los D</w:t>
      </w:r>
      <w:r w:rsidRPr="004D5C2C">
        <w:rPr>
          <w:rFonts w:eastAsia="Times New Roman"/>
          <w:bCs/>
          <w:sz w:val="24"/>
          <w:szCs w:val="24"/>
        </w:rPr>
        <w:t xml:space="preserve">erechos del </w:t>
      </w:r>
      <w:r w:rsidR="00D00731">
        <w:rPr>
          <w:rFonts w:eastAsia="Times New Roman"/>
          <w:bCs/>
          <w:sz w:val="24"/>
          <w:szCs w:val="24"/>
        </w:rPr>
        <w:t>N</w:t>
      </w:r>
      <w:r w:rsidRPr="004D5C2C">
        <w:rPr>
          <w:rFonts w:eastAsia="Times New Roman"/>
          <w:bCs/>
          <w:sz w:val="24"/>
          <w:szCs w:val="24"/>
        </w:rPr>
        <w:t>iño, en una suma aceptada tácitamente por sus padres</w:t>
      </w:r>
      <w:r>
        <w:rPr>
          <w:rFonts w:eastAsia="Times New Roman"/>
          <w:bCs/>
          <w:sz w:val="24"/>
          <w:szCs w:val="24"/>
        </w:rPr>
        <w:t xml:space="preserve"> y que </w:t>
      </w:r>
      <w:r w:rsidRPr="004D5C2C">
        <w:rPr>
          <w:rFonts w:eastAsia="Times New Roman"/>
          <w:bCs/>
          <w:sz w:val="24"/>
          <w:szCs w:val="24"/>
        </w:rPr>
        <w:t>estimaron suficiente para cubrir sus</w:t>
      </w:r>
      <w:r>
        <w:rPr>
          <w:rFonts w:eastAsia="Times New Roman"/>
          <w:bCs/>
          <w:sz w:val="24"/>
          <w:szCs w:val="24"/>
        </w:rPr>
        <w:t xml:space="preserve"> </w:t>
      </w:r>
      <w:r w:rsidRPr="004D5C2C">
        <w:rPr>
          <w:rFonts w:eastAsia="Times New Roman"/>
          <w:bCs/>
          <w:sz w:val="24"/>
          <w:szCs w:val="24"/>
        </w:rPr>
        <w:t>necesidades</w:t>
      </w:r>
      <w:r>
        <w:rPr>
          <w:rFonts w:eastAsia="Times New Roman"/>
          <w:bCs/>
          <w:sz w:val="24"/>
          <w:szCs w:val="24"/>
        </w:rPr>
        <w:t>.</w:t>
      </w:r>
    </w:p>
    <w:p w14:paraId="349D3A7B" w14:textId="09531AF7" w:rsidR="00083831" w:rsidRPr="00083831" w:rsidRDefault="00083831" w:rsidP="00216307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Se confirma la sentencia con declaración </w:t>
      </w:r>
      <w:r w:rsidRPr="00083831">
        <w:rPr>
          <w:rFonts w:eastAsia="Times New Roman"/>
          <w:bCs/>
          <w:sz w:val="24"/>
          <w:szCs w:val="24"/>
        </w:rPr>
        <w:t>de establecer que el pago de la suma fijada por ella procederá a partir del mes siguiente a aquel en que ese fallo fue notificado</w:t>
      </w:r>
      <w:r w:rsidR="004D5C2C">
        <w:rPr>
          <w:rFonts w:eastAsia="Times New Roman"/>
          <w:bCs/>
          <w:sz w:val="24"/>
          <w:szCs w:val="24"/>
        </w:rPr>
        <w:t>.</w:t>
      </w:r>
    </w:p>
    <w:p w14:paraId="26A914CD" w14:textId="0E109A64" w:rsidR="00B568AF" w:rsidRPr="00C7619A" w:rsidRDefault="00B568AF" w:rsidP="00216307">
      <w:pPr>
        <w:pStyle w:val="Prrafodelista"/>
        <w:numPr>
          <w:ilvl w:val="0"/>
          <w:numId w:val="3"/>
        </w:numPr>
        <w:spacing w:line="276" w:lineRule="auto"/>
        <w:jc w:val="both"/>
        <w:rPr>
          <w:b/>
          <w:bCs/>
          <w:sz w:val="24"/>
          <w:szCs w:val="24"/>
        </w:rPr>
      </w:pPr>
      <w:r w:rsidRPr="00C7619A">
        <w:rPr>
          <w:b/>
          <w:bCs/>
          <w:sz w:val="24"/>
          <w:szCs w:val="24"/>
        </w:rPr>
        <w:t>Opinión crítica del fallo</w:t>
      </w:r>
    </w:p>
    <w:p w14:paraId="40FDE3E2" w14:textId="77777777" w:rsidR="00B568AF" w:rsidRDefault="00B568AF" w:rsidP="00216307">
      <w:pPr>
        <w:spacing w:line="276" w:lineRule="auto"/>
        <w:jc w:val="both"/>
        <w:rPr>
          <w:sz w:val="24"/>
          <w:szCs w:val="24"/>
        </w:rPr>
      </w:pPr>
    </w:p>
    <w:p w14:paraId="7978782C" w14:textId="0248AE29" w:rsidR="00216307" w:rsidRPr="00B568AF" w:rsidRDefault="00B568AF" w:rsidP="00216307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 partir de los hechos señalados, el derecho de alimentos del niño no fue vulnerado gracias a un efectivo otorgamiento de alimentos provisorios por</w:t>
      </w:r>
      <w:r w:rsidR="00D00731">
        <w:rPr>
          <w:sz w:val="24"/>
          <w:szCs w:val="24"/>
        </w:rPr>
        <w:t xml:space="preserve"> parte de su progenitor</w:t>
      </w:r>
      <w:r>
        <w:rPr>
          <w:sz w:val="24"/>
          <w:szCs w:val="24"/>
        </w:rPr>
        <w:t>, por lo que resulta razonable</w:t>
      </w:r>
      <w:r w:rsidR="00C7619A">
        <w:rPr>
          <w:sz w:val="24"/>
          <w:szCs w:val="24"/>
        </w:rPr>
        <w:t xml:space="preserve"> extender el inicio del pago de la nueva pensión de alimentos</w:t>
      </w:r>
      <w:r w:rsidR="00216307">
        <w:rPr>
          <w:sz w:val="24"/>
          <w:szCs w:val="24"/>
        </w:rPr>
        <w:t xml:space="preserve"> al mes siguiente de notificado el fallo, pues el alimentante en cuestión mantuvo sus obligaciones y veló por la integridad de su hijo</w:t>
      </w:r>
      <w:r w:rsidR="00783633">
        <w:rPr>
          <w:sz w:val="24"/>
          <w:szCs w:val="24"/>
        </w:rPr>
        <w:t xml:space="preserve"> durante todo el proceso.</w:t>
      </w:r>
    </w:p>
    <w:sectPr w:rsidR="00216307" w:rsidRPr="00B568AF" w:rsidSect="00826AD5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23F47B" w14:textId="77777777" w:rsidR="00A8222F" w:rsidRDefault="00A8222F" w:rsidP="00777C94">
      <w:r>
        <w:separator/>
      </w:r>
    </w:p>
  </w:endnote>
  <w:endnote w:type="continuationSeparator" w:id="0">
    <w:p w14:paraId="4744DC96" w14:textId="77777777" w:rsidR="00A8222F" w:rsidRDefault="00A8222F" w:rsidP="0077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DC0CA8" w14:textId="77777777" w:rsidR="00A8222F" w:rsidRDefault="00A8222F" w:rsidP="00777C94">
      <w:r>
        <w:separator/>
      </w:r>
    </w:p>
  </w:footnote>
  <w:footnote w:type="continuationSeparator" w:id="0">
    <w:p w14:paraId="7256B24D" w14:textId="77777777" w:rsidR="00A8222F" w:rsidRDefault="00A8222F" w:rsidP="00777C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E4CB0F" w14:textId="279C39C3" w:rsidR="00777C94" w:rsidRPr="00777C94" w:rsidRDefault="00777C94" w:rsidP="00777C94">
    <w:pPr>
      <w:tabs>
        <w:tab w:val="center" w:pos="4419"/>
        <w:tab w:val="right" w:pos="8789"/>
      </w:tabs>
      <w:ind w:right="-518"/>
      <w:jc w:val="right"/>
      <w:rPr>
        <w:rFonts w:ascii="Calibri" w:eastAsia="Calibri" w:hAnsi="Calibri" w:cs="Calibri"/>
        <w:color w:val="auto"/>
        <w:kern w:val="0"/>
        <w:lang w:val="es-ES" w:eastAsia="es-CL"/>
        <w14:ligatures w14:val="none"/>
      </w:rPr>
    </w:pPr>
    <w:r>
      <w:rPr>
        <w:noProof/>
        <w:lang w:val="es-CL" w:eastAsia="es-CL"/>
      </w:rPr>
      <w:drawing>
        <wp:inline distT="0" distB="0" distL="0" distR="0" wp14:anchorId="2F60BC37" wp14:editId="01A257C9">
          <wp:extent cx="993775" cy="1120775"/>
          <wp:effectExtent l="0" t="0" r="0" b="3175"/>
          <wp:docPr id="2" name="image2.png" descr="Imagen que contiene 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.png" descr="Imagen que contiene Texto&#10;&#10;Descripción generada automáticamente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93775" cy="11207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02FB867" w14:textId="77777777" w:rsidR="00777C94" w:rsidRDefault="00777C9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031901"/>
    <w:multiLevelType w:val="multilevel"/>
    <w:tmpl w:val="01962EB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BC5F1A"/>
    <w:multiLevelType w:val="hybridMultilevel"/>
    <w:tmpl w:val="73528D10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BB67D1"/>
    <w:multiLevelType w:val="multilevel"/>
    <w:tmpl w:val="01962EB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19B"/>
    <w:rsid w:val="00083831"/>
    <w:rsid w:val="000B0AC1"/>
    <w:rsid w:val="000B3BAA"/>
    <w:rsid w:val="000E27D2"/>
    <w:rsid w:val="001C2438"/>
    <w:rsid w:val="00216307"/>
    <w:rsid w:val="003579B2"/>
    <w:rsid w:val="0044547F"/>
    <w:rsid w:val="004D5C2C"/>
    <w:rsid w:val="00777C94"/>
    <w:rsid w:val="00783633"/>
    <w:rsid w:val="00826AD5"/>
    <w:rsid w:val="0088019B"/>
    <w:rsid w:val="00917B6C"/>
    <w:rsid w:val="00A8222F"/>
    <w:rsid w:val="00B568AF"/>
    <w:rsid w:val="00BA58B8"/>
    <w:rsid w:val="00C7619A"/>
    <w:rsid w:val="00D00731"/>
    <w:rsid w:val="00EA5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2FA818"/>
  <w15:chartTrackingRefBased/>
  <w15:docId w15:val="{11853A8C-507B-AC43-8F16-B25D1E4CD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Courier New"/>
        <w:color w:val="000000"/>
        <w:kern w:val="2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019B"/>
    <w:rPr>
      <w:rFonts w:ascii="Arial" w:hAnsi="Arial" w:cs="Arial"/>
      <w:sz w:val="22"/>
      <w:szCs w:val="22"/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8801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801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8019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8019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8019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8019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8019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80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80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8019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8019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8019B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8019B"/>
    <w:rPr>
      <w:rFonts w:asciiTheme="minorHAnsi" w:eastAsiaTheme="majorEastAsia" w:hAnsiTheme="minorHAnsi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8019B"/>
    <w:rPr>
      <w:rFonts w:asciiTheme="minorHAnsi" w:eastAsiaTheme="majorEastAsia" w:hAnsiTheme="minorHAnsi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8019B"/>
    <w:rPr>
      <w:rFonts w:asciiTheme="minorHAnsi" w:eastAsiaTheme="majorEastAsia" w:hAnsiTheme="minorHAnsi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8019B"/>
    <w:rPr>
      <w:rFonts w:asciiTheme="minorHAnsi" w:eastAsiaTheme="majorEastAsia" w:hAnsiTheme="minorHAnsi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8019B"/>
    <w:rPr>
      <w:rFonts w:asciiTheme="minorHAnsi" w:eastAsiaTheme="majorEastAsia" w:hAnsiTheme="minorHAnsi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8019B"/>
    <w:rPr>
      <w:rFonts w:asciiTheme="minorHAnsi" w:eastAsiaTheme="majorEastAsia" w:hAnsiTheme="minorHAnsi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88019B"/>
    <w:pPr>
      <w:spacing w:after="80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8019B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88019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80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8801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8019B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88019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8019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801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8019B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88019B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8801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77C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77C94"/>
    <w:rPr>
      <w:rFonts w:ascii="Arial" w:hAnsi="Arial" w:cs="Arial"/>
      <w:sz w:val="22"/>
      <w:szCs w:val="22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777C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7C94"/>
    <w:rPr>
      <w:rFonts w:ascii="Arial" w:hAnsi="Arial" w:cs="Arial"/>
      <w:sz w:val="22"/>
      <w:szCs w:val="2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60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615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50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77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5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06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03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17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10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2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69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11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61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56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1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748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18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37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259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758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0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946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88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58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974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08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885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95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1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4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406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Rosario Andrea Chávez Cifuentes (rosario.chavez)</dc:creator>
  <cp:keywords/>
  <dc:description/>
  <cp:lastModifiedBy>Valeria Sepúlveda</cp:lastModifiedBy>
  <cp:revision>8</cp:revision>
  <dcterms:created xsi:type="dcterms:W3CDTF">2024-01-18T13:14:00Z</dcterms:created>
  <dcterms:modified xsi:type="dcterms:W3CDTF">2024-01-26T13:22:00Z</dcterms:modified>
</cp:coreProperties>
</file>