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37EB6" w14:textId="77777777" w:rsidR="00187ECC" w:rsidRPr="00FA45B4" w:rsidRDefault="00187ECC" w:rsidP="00FA45B4">
      <w:pPr>
        <w:pBdr>
          <w:top w:val="nil"/>
          <w:left w:val="nil"/>
          <w:bottom w:val="nil"/>
          <w:right w:val="nil"/>
          <w:between w:val="nil"/>
        </w:pBdr>
        <w:spacing w:line="480" w:lineRule="auto"/>
        <w:jc w:val="center"/>
        <w:rPr>
          <w:rFonts w:ascii="Arial" w:eastAsia="Times New Roman" w:hAnsi="Arial" w:cs="Arial"/>
          <w:b/>
          <w:color w:val="000000"/>
          <w:sz w:val="24"/>
          <w:szCs w:val="24"/>
        </w:rPr>
      </w:pPr>
      <w:r w:rsidRPr="00FA45B4">
        <w:rPr>
          <w:rFonts w:ascii="Arial" w:eastAsia="Times New Roman" w:hAnsi="Arial" w:cs="Arial"/>
          <w:b/>
          <w:color w:val="000000"/>
          <w:sz w:val="24"/>
          <w:szCs w:val="24"/>
        </w:rPr>
        <w:t>Observatorio Jurisprudencial</w:t>
      </w:r>
    </w:p>
    <w:p w14:paraId="2AB334A8" w14:textId="4D400AB0" w:rsidR="002B0BCD" w:rsidRDefault="00187ECC" w:rsidP="00FA45B4">
      <w:pPr>
        <w:pBdr>
          <w:top w:val="nil"/>
          <w:left w:val="nil"/>
          <w:bottom w:val="nil"/>
          <w:right w:val="nil"/>
          <w:between w:val="nil"/>
        </w:pBdr>
        <w:spacing w:line="276" w:lineRule="auto"/>
        <w:jc w:val="center"/>
        <w:rPr>
          <w:rFonts w:ascii="Arial" w:eastAsia="Times New Roman" w:hAnsi="Arial" w:cs="Arial"/>
          <w:color w:val="000000"/>
          <w:sz w:val="24"/>
          <w:szCs w:val="24"/>
        </w:rPr>
      </w:pPr>
      <w:r w:rsidRPr="00FA45B4">
        <w:rPr>
          <w:rFonts w:ascii="Arial" w:eastAsia="Times New Roman" w:hAnsi="Arial" w:cs="Arial"/>
          <w:color w:val="000000"/>
          <w:sz w:val="24"/>
          <w:szCs w:val="24"/>
        </w:rPr>
        <w:t>Programa Persona, Familias y Derecho</w:t>
      </w:r>
    </w:p>
    <w:p w14:paraId="30A6C62A" w14:textId="77777777" w:rsidR="00FA45B4" w:rsidRPr="00FA45B4" w:rsidRDefault="00FA45B4" w:rsidP="00FA45B4">
      <w:pPr>
        <w:pBdr>
          <w:top w:val="nil"/>
          <w:left w:val="nil"/>
          <w:bottom w:val="nil"/>
          <w:right w:val="nil"/>
          <w:between w:val="nil"/>
        </w:pBdr>
        <w:spacing w:line="276" w:lineRule="auto"/>
        <w:jc w:val="center"/>
        <w:rPr>
          <w:rFonts w:ascii="Arial" w:eastAsia="Times New Roman" w:hAnsi="Arial" w:cs="Arial"/>
          <w:color w:val="000000"/>
          <w:sz w:val="24"/>
          <w:szCs w:val="24"/>
        </w:rPr>
      </w:pPr>
    </w:p>
    <w:tbl>
      <w:tblPr>
        <w:tblStyle w:val="Tablaconcuadrcula1"/>
        <w:tblpPr w:leftFromText="141" w:rightFromText="141" w:vertAnchor="text" w:horzAnchor="margin" w:tblpY="-54"/>
        <w:tblW w:w="0" w:type="auto"/>
        <w:tblLook w:val="04A0" w:firstRow="1" w:lastRow="0" w:firstColumn="1" w:lastColumn="0" w:noHBand="0" w:noVBand="1"/>
      </w:tblPr>
      <w:tblGrid>
        <w:gridCol w:w="4673"/>
        <w:gridCol w:w="4678"/>
      </w:tblGrid>
      <w:tr w:rsidR="002B0BCD" w:rsidRPr="00A51115" w14:paraId="3838E09C" w14:textId="77777777" w:rsidTr="00481490">
        <w:tc>
          <w:tcPr>
            <w:tcW w:w="4673" w:type="dxa"/>
          </w:tcPr>
          <w:p w14:paraId="73C40EBF"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Tribunal</w:t>
            </w:r>
          </w:p>
        </w:tc>
        <w:tc>
          <w:tcPr>
            <w:tcW w:w="4678" w:type="dxa"/>
          </w:tcPr>
          <w:p w14:paraId="43769B84" w14:textId="1B665B01" w:rsidR="002B0BCD" w:rsidRPr="00A51115" w:rsidRDefault="005E6CF3" w:rsidP="00A51115">
            <w:pPr>
              <w:spacing w:line="276" w:lineRule="auto"/>
              <w:jc w:val="both"/>
              <w:rPr>
                <w:rFonts w:ascii="Arial" w:hAnsi="Arial" w:cs="Arial"/>
                <w:sz w:val="24"/>
                <w:lang w:val="es-ES_tradnl"/>
              </w:rPr>
            </w:pPr>
            <w:r w:rsidRPr="005E6CF3">
              <w:rPr>
                <w:rFonts w:ascii="Arial" w:hAnsi="Arial" w:cs="Arial"/>
                <w:sz w:val="24"/>
                <w:lang w:val="es-ES"/>
              </w:rPr>
              <w:t>Corte de Apelaciones de Santiago</w:t>
            </w:r>
          </w:p>
        </w:tc>
      </w:tr>
      <w:tr w:rsidR="002B0BCD" w:rsidRPr="00A51115" w14:paraId="1E55DBD8" w14:textId="77777777" w:rsidTr="00481490">
        <w:tc>
          <w:tcPr>
            <w:tcW w:w="4673" w:type="dxa"/>
          </w:tcPr>
          <w:p w14:paraId="790D8959" w14:textId="5EC86B72"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Rol/RIT</w:t>
            </w:r>
          </w:p>
        </w:tc>
        <w:tc>
          <w:tcPr>
            <w:tcW w:w="4678" w:type="dxa"/>
          </w:tcPr>
          <w:p w14:paraId="175B22E1" w14:textId="641F4406" w:rsidR="002B0BCD" w:rsidRPr="00A51115" w:rsidRDefault="005E6CF3" w:rsidP="00A51115">
            <w:pPr>
              <w:spacing w:line="276" w:lineRule="auto"/>
              <w:jc w:val="both"/>
              <w:rPr>
                <w:rFonts w:ascii="Arial" w:hAnsi="Arial" w:cs="Arial"/>
                <w:sz w:val="24"/>
                <w:lang w:val="es-ES_tradnl"/>
              </w:rPr>
            </w:pPr>
            <w:r w:rsidRPr="005E6CF3">
              <w:rPr>
                <w:rFonts w:ascii="Arial" w:hAnsi="Arial" w:cs="Arial"/>
                <w:sz w:val="24"/>
                <w:lang w:val="es-ES"/>
              </w:rPr>
              <w:t>18299-2023</w:t>
            </w:r>
          </w:p>
        </w:tc>
      </w:tr>
      <w:tr w:rsidR="002B0BCD" w:rsidRPr="00A51115" w14:paraId="7448AAE8" w14:textId="77777777" w:rsidTr="00481490">
        <w:tc>
          <w:tcPr>
            <w:tcW w:w="4673" w:type="dxa"/>
          </w:tcPr>
          <w:p w14:paraId="5EDFB998" w14:textId="6B362368"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 xml:space="preserve">Fecha de </w:t>
            </w:r>
            <w:r w:rsidR="002C66B2" w:rsidRPr="00A51115">
              <w:rPr>
                <w:rFonts w:ascii="Arial" w:hAnsi="Arial" w:cs="Arial"/>
                <w:b/>
                <w:bCs/>
                <w:sz w:val="24"/>
                <w:lang w:val="es-ES_tradnl"/>
              </w:rPr>
              <w:t>sentencia</w:t>
            </w:r>
          </w:p>
        </w:tc>
        <w:tc>
          <w:tcPr>
            <w:tcW w:w="4678" w:type="dxa"/>
          </w:tcPr>
          <w:p w14:paraId="47DFEB0A" w14:textId="4E248E6D" w:rsidR="002B0BCD" w:rsidRPr="00A51115" w:rsidRDefault="005E6CF3" w:rsidP="00A51115">
            <w:pPr>
              <w:spacing w:line="276" w:lineRule="auto"/>
              <w:jc w:val="both"/>
              <w:rPr>
                <w:rFonts w:ascii="Arial" w:hAnsi="Arial" w:cs="Arial"/>
                <w:sz w:val="24"/>
                <w:lang w:val="es-ES_tradnl"/>
              </w:rPr>
            </w:pPr>
            <w:r w:rsidRPr="005E6CF3">
              <w:rPr>
                <w:rFonts w:ascii="Arial" w:hAnsi="Arial" w:cs="Arial"/>
                <w:sz w:val="24"/>
                <w:lang w:val="es-ES"/>
              </w:rPr>
              <w:t>24 de junio de 2025</w:t>
            </w:r>
          </w:p>
        </w:tc>
      </w:tr>
      <w:tr w:rsidR="002B0BCD" w:rsidRPr="00A51115" w14:paraId="4E808922" w14:textId="77777777" w:rsidTr="00481490">
        <w:tc>
          <w:tcPr>
            <w:tcW w:w="4673" w:type="dxa"/>
          </w:tcPr>
          <w:p w14:paraId="22D1830A" w14:textId="02921179" w:rsidR="002B0BCD" w:rsidRPr="00A51115" w:rsidRDefault="002B0BCD" w:rsidP="00A51115">
            <w:pPr>
              <w:tabs>
                <w:tab w:val="center" w:pos="2099"/>
              </w:tabs>
              <w:spacing w:line="276" w:lineRule="auto"/>
              <w:jc w:val="both"/>
              <w:rPr>
                <w:rFonts w:ascii="Arial" w:hAnsi="Arial" w:cs="Arial"/>
                <w:b/>
                <w:bCs/>
                <w:sz w:val="24"/>
                <w:lang w:val="es-ES_tradnl"/>
              </w:rPr>
            </w:pPr>
            <w:r w:rsidRPr="00A51115">
              <w:rPr>
                <w:rFonts w:ascii="Arial" w:hAnsi="Arial" w:cs="Arial"/>
                <w:b/>
                <w:bCs/>
                <w:sz w:val="24"/>
                <w:lang w:val="es-ES_tradnl"/>
              </w:rPr>
              <w:t>Recurso/Materia</w:t>
            </w:r>
            <w:r w:rsidRPr="00A51115">
              <w:rPr>
                <w:rFonts w:ascii="Arial" w:hAnsi="Arial" w:cs="Arial"/>
                <w:b/>
                <w:bCs/>
                <w:sz w:val="24"/>
                <w:lang w:val="es-ES_tradnl"/>
              </w:rPr>
              <w:tab/>
            </w:r>
          </w:p>
        </w:tc>
        <w:tc>
          <w:tcPr>
            <w:tcW w:w="4678" w:type="dxa"/>
          </w:tcPr>
          <w:p w14:paraId="5A9CDABE" w14:textId="5F512CE9" w:rsidR="002B0BCD" w:rsidRPr="00A51115" w:rsidRDefault="003C14DC" w:rsidP="00A51115">
            <w:pPr>
              <w:spacing w:line="276" w:lineRule="auto"/>
              <w:jc w:val="both"/>
              <w:rPr>
                <w:rFonts w:ascii="Arial" w:hAnsi="Arial" w:cs="Arial"/>
                <w:sz w:val="24"/>
                <w:lang w:val="es-ES_tradnl"/>
              </w:rPr>
            </w:pPr>
            <w:r w:rsidRPr="003C14DC">
              <w:rPr>
                <w:rFonts w:ascii="Arial" w:hAnsi="Arial" w:cs="Arial"/>
                <w:sz w:val="24"/>
                <w:lang w:val="es-ES"/>
              </w:rPr>
              <w:t>A</w:t>
            </w:r>
            <w:r w:rsidR="005E6CF3" w:rsidRPr="005E6CF3">
              <w:rPr>
                <w:rFonts w:ascii="Arial" w:hAnsi="Arial" w:cs="Arial"/>
                <w:sz w:val="24"/>
                <w:lang w:val="es-ES"/>
              </w:rPr>
              <w:t>pelación</w:t>
            </w:r>
          </w:p>
        </w:tc>
      </w:tr>
      <w:tr w:rsidR="002B0BCD" w:rsidRPr="00A51115" w14:paraId="60A15779" w14:textId="77777777" w:rsidTr="00481490">
        <w:tc>
          <w:tcPr>
            <w:tcW w:w="4673" w:type="dxa"/>
          </w:tcPr>
          <w:p w14:paraId="3419BC96"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Resultado</w:t>
            </w:r>
          </w:p>
        </w:tc>
        <w:tc>
          <w:tcPr>
            <w:tcW w:w="4678" w:type="dxa"/>
          </w:tcPr>
          <w:p w14:paraId="5A649B29" w14:textId="32ADD5D2" w:rsidR="002B0BCD" w:rsidRPr="00A51115" w:rsidRDefault="00EB4A20" w:rsidP="00A51115">
            <w:pPr>
              <w:spacing w:line="276" w:lineRule="auto"/>
              <w:jc w:val="both"/>
              <w:rPr>
                <w:rFonts w:ascii="Arial" w:hAnsi="Arial" w:cs="Arial"/>
                <w:sz w:val="24"/>
                <w:lang w:val="es-ES_tradnl"/>
              </w:rPr>
            </w:pPr>
            <w:r w:rsidRPr="00EB4A20">
              <w:rPr>
                <w:rFonts w:ascii="Arial" w:hAnsi="Arial" w:cs="Arial"/>
                <w:sz w:val="24"/>
                <w:lang w:val="es-ES"/>
              </w:rPr>
              <w:t>Acogido</w:t>
            </w:r>
          </w:p>
        </w:tc>
      </w:tr>
      <w:tr w:rsidR="002B0BCD" w:rsidRPr="00A51115" w14:paraId="4CC35AA2" w14:textId="77777777" w:rsidTr="00481490">
        <w:tc>
          <w:tcPr>
            <w:tcW w:w="4673" w:type="dxa"/>
          </w:tcPr>
          <w:p w14:paraId="28A5A628"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Caratulado</w:t>
            </w:r>
          </w:p>
        </w:tc>
        <w:tc>
          <w:tcPr>
            <w:tcW w:w="4678" w:type="dxa"/>
          </w:tcPr>
          <w:p w14:paraId="75E42744" w14:textId="1CDAEDB8" w:rsidR="002B0BCD" w:rsidRPr="00A51115" w:rsidRDefault="006C634C" w:rsidP="00A51115">
            <w:pPr>
              <w:spacing w:line="276" w:lineRule="auto"/>
              <w:jc w:val="both"/>
              <w:rPr>
                <w:rFonts w:ascii="Arial" w:hAnsi="Arial" w:cs="Arial"/>
                <w:sz w:val="24"/>
                <w:lang w:val="es-ES_tradnl"/>
              </w:rPr>
            </w:pPr>
            <w:r w:rsidRPr="00A51115">
              <w:rPr>
                <w:rFonts w:ascii="Arial" w:hAnsi="Arial" w:cs="Arial"/>
                <w:sz w:val="24"/>
                <w:lang w:val="es-ES"/>
              </w:rPr>
              <w:t>ANONIMIZADO</w:t>
            </w:r>
          </w:p>
        </w:tc>
      </w:tr>
    </w:tbl>
    <w:p w14:paraId="497EE1EB" w14:textId="4AABE405" w:rsidR="002B0BCD" w:rsidRPr="00A51115" w:rsidRDefault="002B0BCD" w:rsidP="00A51115">
      <w:pPr>
        <w:spacing w:line="276" w:lineRule="auto"/>
        <w:jc w:val="both"/>
        <w:rPr>
          <w:rFonts w:ascii="Arial" w:eastAsia="Times New Roman" w:hAnsi="Arial" w:cs="Arial"/>
          <w:b/>
          <w:sz w:val="24"/>
          <w:szCs w:val="24"/>
        </w:rPr>
      </w:pPr>
    </w:p>
    <w:p w14:paraId="437B92FB" w14:textId="6B655A98" w:rsidR="00A20742" w:rsidRPr="00A51115" w:rsidRDefault="00FF752F" w:rsidP="00807AC1">
      <w:pPr>
        <w:pStyle w:val="Prrafodelista"/>
        <w:numPr>
          <w:ilvl w:val="0"/>
          <w:numId w:val="4"/>
        </w:numPr>
        <w:spacing w:line="360" w:lineRule="auto"/>
        <w:jc w:val="both"/>
        <w:rPr>
          <w:rFonts w:ascii="Arial" w:eastAsia="Times New Roman" w:hAnsi="Arial" w:cs="Arial"/>
          <w:b/>
          <w:sz w:val="24"/>
          <w:szCs w:val="24"/>
        </w:rPr>
      </w:pPr>
      <w:r w:rsidRPr="00A51115">
        <w:rPr>
          <w:rFonts w:ascii="Arial" w:eastAsia="Times New Roman" w:hAnsi="Arial" w:cs="Arial"/>
          <w:b/>
          <w:sz w:val="24"/>
          <w:szCs w:val="24"/>
        </w:rPr>
        <w:t>RESUMEN</w:t>
      </w:r>
    </w:p>
    <w:p w14:paraId="727B179E" w14:textId="238DA615" w:rsidR="00632B4B" w:rsidRDefault="00A20742" w:rsidP="00807AC1">
      <w:pPr>
        <w:spacing w:line="360" w:lineRule="auto"/>
        <w:jc w:val="both"/>
        <w:rPr>
          <w:rFonts w:ascii="Arial" w:eastAsia="Times New Roman" w:hAnsi="Arial" w:cs="Arial"/>
          <w:bCs/>
          <w:sz w:val="24"/>
          <w:szCs w:val="24"/>
        </w:rPr>
      </w:pPr>
      <w:r w:rsidRPr="00111160">
        <w:rPr>
          <w:rFonts w:ascii="Arial" w:eastAsia="Times New Roman" w:hAnsi="Arial" w:cs="Arial"/>
          <w:b/>
          <w:bCs/>
          <w:sz w:val="24"/>
          <w:szCs w:val="24"/>
        </w:rPr>
        <w:t>Derechos vulnerados</w:t>
      </w:r>
      <w:r w:rsidRPr="00111160">
        <w:rPr>
          <w:rFonts w:ascii="Arial" w:eastAsia="Times New Roman" w:hAnsi="Arial" w:cs="Arial"/>
          <w:bCs/>
          <w:sz w:val="24"/>
          <w:szCs w:val="24"/>
        </w:rPr>
        <w:t>:</w:t>
      </w:r>
      <w:r w:rsidR="004E25E9">
        <w:rPr>
          <w:rFonts w:ascii="Arial" w:eastAsia="Times New Roman" w:hAnsi="Arial" w:cs="Arial"/>
          <w:bCs/>
          <w:sz w:val="24"/>
          <w:szCs w:val="24"/>
        </w:rPr>
        <w:t xml:space="preserve"> </w:t>
      </w:r>
      <w:r w:rsidR="00EB4A20" w:rsidRPr="00EB4A20">
        <w:rPr>
          <w:rFonts w:ascii="Arial" w:eastAsia="Times New Roman" w:hAnsi="Arial" w:cs="Arial"/>
          <w:bCs/>
          <w:sz w:val="24"/>
          <w:szCs w:val="24"/>
        </w:rPr>
        <w:t>Derecho a la identidad de género.</w:t>
      </w:r>
    </w:p>
    <w:p w14:paraId="32AA6AB0" w14:textId="77777777" w:rsidR="00C95ECD" w:rsidRDefault="00EB4A20" w:rsidP="00EB4A20">
      <w:pPr>
        <w:spacing w:line="360" w:lineRule="auto"/>
        <w:jc w:val="both"/>
        <w:rPr>
          <w:rFonts w:ascii="Arial" w:eastAsia="Times New Roman" w:hAnsi="Arial" w:cs="Arial"/>
          <w:bCs/>
          <w:sz w:val="24"/>
          <w:szCs w:val="24"/>
        </w:rPr>
      </w:pPr>
      <w:r>
        <w:rPr>
          <w:rFonts w:ascii="Arial" w:eastAsia="Times New Roman" w:hAnsi="Arial" w:cs="Arial"/>
          <w:bCs/>
          <w:sz w:val="24"/>
          <w:szCs w:val="24"/>
        </w:rPr>
        <w:t xml:space="preserve">El </w:t>
      </w:r>
      <w:r w:rsidRPr="00EB4A20">
        <w:rPr>
          <w:rFonts w:ascii="Arial" w:eastAsia="Times New Roman" w:hAnsi="Arial" w:cs="Arial"/>
          <w:bCs/>
          <w:sz w:val="24"/>
          <w:szCs w:val="24"/>
        </w:rPr>
        <w:t xml:space="preserve">fallo acoge el recurso de apelación interpuesto contra la sentencia de primera instancia, por haberse rechazado la solicitud de rectificación de sexo registral de la parte recurrente, modificando el registro “masculino” reemplazándolo por el marcador “X” para señalar género no binario. </w:t>
      </w:r>
    </w:p>
    <w:p w14:paraId="50E1618E" w14:textId="267D5ECB" w:rsidR="00DA6AF4" w:rsidRDefault="00EB4A20" w:rsidP="00EB4A20">
      <w:pPr>
        <w:spacing w:line="360" w:lineRule="auto"/>
        <w:jc w:val="both"/>
        <w:rPr>
          <w:rFonts w:ascii="Arial" w:eastAsia="Times New Roman" w:hAnsi="Arial" w:cs="Arial"/>
          <w:bCs/>
          <w:sz w:val="24"/>
          <w:szCs w:val="24"/>
        </w:rPr>
      </w:pPr>
      <w:r w:rsidRPr="00EB4A20">
        <w:rPr>
          <w:rFonts w:ascii="Arial" w:eastAsia="Times New Roman" w:hAnsi="Arial" w:cs="Arial"/>
          <w:bCs/>
          <w:sz w:val="24"/>
          <w:szCs w:val="24"/>
        </w:rPr>
        <w:t>La Corte de Apelaciones de Santiago acogió el recurso, por considerar que la inconsistencia entre el sexo registral de la parte recurrente y su identidad de género, vulnera su dignidad humana</w:t>
      </w:r>
    </w:p>
    <w:p w14:paraId="138DE18B" w14:textId="77777777" w:rsidR="00E72905" w:rsidRPr="00111160" w:rsidRDefault="00E72905" w:rsidP="00807AC1">
      <w:pPr>
        <w:spacing w:line="360" w:lineRule="auto"/>
        <w:jc w:val="both"/>
        <w:rPr>
          <w:rFonts w:ascii="Arial" w:eastAsia="Times New Roman" w:hAnsi="Arial" w:cs="Arial"/>
          <w:bCs/>
          <w:sz w:val="24"/>
          <w:szCs w:val="24"/>
        </w:rPr>
      </w:pPr>
    </w:p>
    <w:p w14:paraId="0D7B7775" w14:textId="77777777" w:rsidR="00653CBE" w:rsidRDefault="00FF752F" w:rsidP="00807AC1">
      <w:pPr>
        <w:pStyle w:val="Prrafodelista"/>
        <w:numPr>
          <w:ilvl w:val="0"/>
          <w:numId w:val="4"/>
        </w:numPr>
        <w:spacing w:line="360" w:lineRule="auto"/>
        <w:jc w:val="both"/>
        <w:rPr>
          <w:rFonts w:ascii="Arial" w:eastAsia="Times New Roman" w:hAnsi="Arial" w:cs="Arial"/>
          <w:b/>
          <w:sz w:val="24"/>
          <w:szCs w:val="24"/>
        </w:rPr>
      </w:pPr>
      <w:r w:rsidRPr="00111160">
        <w:rPr>
          <w:rFonts w:ascii="Arial" w:eastAsia="Times New Roman" w:hAnsi="Arial" w:cs="Arial"/>
          <w:b/>
          <w:sz w:val="24"/>
          <w:szCs w:val="24"/>
        </w:rPr>
        <w:t>HECHOS</w:t>
      </w:r>
    </w:p>
    <w:p w14:paraId="76EDD215" w14:textId="77777777" w:rsidR="005F618F" w:rsidRDefault="00B566E9" w:rsidP="00B566E9">
      <w:pPr>
        <w:spacing w:line="360" w:lineRule="auto"/>
        <w:jc w:val="both"/>
        <w:rPr>
          <w:rFonts w:ascii="Arial" w:eastAsia="Times New Roman" w:hAnsi="Arial" w:cs="Arial"/>
          <w:bCs/>
          <w:sz w:val="24"/>
          <w:szCs w:val="24"/>
          <w:lang w:val="es-CL"/>
        </w:rPr>
      </w:pPr>
      <w:r w:rsidRPr="00B566E9">
        <w:rPr>
          <w:rFonts w:ascii="Arial" w:eastAsia="Times New Roman" w:hAnsi="Arial" w:cs="Arial"/>
          <w:bCs/>
          <w:sz w:val="24"/>
          <w:szCs w:val="24"/>
          <w:lang w:val="es-CL"/>
        </w:rPr>
        <w:t xml:space="preserve">La partida de nacimiento de la parte recurrente, mayor de edad, señalaba un </w:t>
      </w:r>
      <w:proofErr w:type="gramStart"/>
      <w:r w:rsidRPr="00B566E9">
        <w:rPr>
          <w:rFonts w:ascii="Arial" w:eastAsia="Times New Roman" w:hAnsi="Arial" w:cs="Arial"/>
          <w:bCs/>
          <w:sz w:val="24"/>
          <w:szCs w:val="24"/>
          <w:lang w:val="es-CL"/>
        </w:rPr>
        <w:t>nombre masculino y sexo masculino</w:t>
      </w:r>
      <w:proofErr w:type="gramEnd"/>
      <w:r w:rsidRPr="00B566E9">
        <w:rPr>
          <w:rFonts w:ascii="Arial" w:eastAsia="Times New Roman" w:hAnsi="Arial" w:cs="Arial"/>
          <w:bCs/>
          <w:sz w:val="24"/>
          <w:szCs w:val="24"/>
          <w:lang w:val="es-CL"/>
        </w:rPr>
        <w:t xml:space="preserve">. Sin embargo, desde la infancia, jamás se identificó con el nombre ni el sexo que se le asignó al nacer, por lo cual tuvo una infancia compleja y fue objeto de discriminaciones. </w:t>
      </w:r>
    </w:p>
    <w:p w14:paraId="293C31C9" w14:textId="74DDAAC9" w:rsidR="00B566E9" w:rsidRPr="00B566E9" w:rsidRDefault="00B566E9" w:rsidP="00B566E9">
      <w:pPr>
        <w:spacing w:line="360" w:lineRule="auto"/>
        <w:jc w:val="both"/>
        <w:rPr>
          <w:rFonts w:ascii="Arial" w:eastAsia="Times New Roman" w:hAnsi="Arial" w:cs="Arial"/>
          <w:bCs/>
          <w:sz w:val="24"/>
          <w:szCs w:val="24"/>
          <w:lang w:val="es-CL"/>
        </w:rPr>
      </w:pPr>
      <w:r w:rsidRPr="00B566E9">
        <w:rPr>
          <w:rFonts w:ascii="Arial" w:eastAsia="Times New Roman" w:hAnsi="Arial" w:cs="Arial"/>
          <w:bCs/>
          <w:sz w:val="24"/>
          <w:szCs w:val="24"/>
          <w:lang w:val="es-CL"/>
        </w:rPr>
        <w:lastRenderedPageBreak/>
        <w:t>Durante su adolescencia, comenzó a participar como activista en diferentes causas relativas a su identidad como persona no binaria, en variadas organizaciones concernientes al no binarismo y la comunidad LGBTIQA+.</w:t>
      </w:r>
    </w:p>
    <w:p w14:paraId="66F20C04" w14:textId="77777777" w:rsidR="0057434C" w:rsidRDefault="00B566E9" w:rsidP="00B566E9">
      <w:pPr>
        <w:spacing w:line="360" w:lineRule="auto"/>
        <w:jc w:val="both"/>
        <w:rPr>
          <w:rFonts w:ascii="Arial" w:eastAsia="Times New Roman" w:hAnsi="Arial" w:cs="Arial"/>
          <w:bCs/>
          <w:sz w:val="24"/>
          <w:szCs w:val="24"/>
          <w:lang w:val="es-CL"/>
        </w:rPr>
      </w:pPr>
      <w:r w:rsidRPr="00B566E9">
        <w:rPr>
          <w:rFonts w:ascii="Arial" w:eastAsia="Times New Roman" w:hAnsi="Arial" w:cs="Arial"/>
          <w:bCs/>
          <w:sz w:val="24"/>
          <w:szCs w:val="24"/>
          <w:lang w:val="es-CL"/>
        </w:rPr>
        <w:t xml:space="preserve">En el año 2016, solicitó judicialmente el cambio de su nombre registral, reemplazándolo por su nombre social. Esta solicitud fue acogida por el tribunal en julio de ese mismo año. </w:t>
      </w:r>
    </w:p>
    <w:p w14:paraId="318593AB" w14:textId="77777777" w:rsidR="00523D0D" w:rsidRDefault="00B566E9" w:rsidP="00B566E9">
      <w:pPr>
        <w:spacing w:line="360" w:lineRule="auto"/>
        <w:jc w:val="both"/>
        <w:rPr>
          <w:rFonts w:ascii="Arial" w:eastAsia="Times New Roman" w:hAnsi="Arial" w:cs="Arial"/>
          <w:bCs/>
          <w:sz w:val="24"/>
          <w:szCs w:val="24"/>
          <w:lang w:val="es-CL"/>
        </w:rPr>
      </w:pPr>
      <w:r w:rsidRPr="00B566E9">
        <w:rPr>
          <w:rFonts w:ascii="Arial" w:eastAsia="Times New Roman" w:hAnsi="Arial" w:cs="Arial"/>
          <w:bCs/>
          <w:sz w:val="24"/>
          <w:szCs w:val="24"/>
          <w:lang w:val="es-CL"/>
        </w:rPr>
        <w:t xml:space="preserve">La identidad de la parte recurrente como persona no binaria ha sido reconocida por más de una década por su entorno familiar, social, laboral e incluso públicamente a través de entrevistas en medios de comunicación. En 2020, con objeto de que su partida de nacimiento y documentos de identificación se condijeran con su identidad de género, solicitó administrativamente al organismo registral competente la rectificación de su partida de nacimiento, para señalar en el apartado de sexo la categoría "no binario". Sin embargo, esta petición fue rechazada. </w:t>
      </w:r>
    </w:p>
    <w:p w14:paraId="054EBCA5" w14:textId="496136F1" w:rsidR="00B566E9" w:rsidRPr="00B566E9" w:rsidRDefault="00B566E9" w:rsidP="00B566E9">
      <w:pPr>
        <w:spacing w:line="360" w:lineRule="auto"/>
        <w:jc w:val="both"/>
        <w:rPr>
          <w:rFonts w:ascii="Arial" w:eastAsia="Times New Roman" w:hAnsi="Arial" w:cs="Arial"/>
          <w:bCs/>
          <w:sz w:val="24"/>
          <w:szCs w:val="24"/>
          <w:lang w:val="es-CL"/>
        </w:rPr>
      </w:pPr>
      <w:r w:rsidRPr="00B566E9">
        <w:rPr>
          <w:rFonts w:ascii="Arial" w:eastAsia="Times New Roman" w:hAnsi="Arial" w:cs="Arial"/>
          <w:bCs/>
          <w:sz w:val="24"/>
          <w:szCs w:val="24"/>
          <w:lang w:val="es-CL"/>
        </w:rPr>
        <w:t>Dicho organismo fundó su rechazo en la inexistencia de esa categoría para el sexo registral, señalando además que el sexo se consigna en el comprobante de parto al momento del nacimiento de las personas.</w:t>
      </w:r>
    </w:p>
    <w:p w14:paraId="6F3FCA19" w14:textId="7D7858EC" w:rsidR="00E72905" w:rsidRDefault="00B566E9" w:rsidP="00525626">
      <w:pPr>
        <w:spacing w:line="360" w:lineRule="auto"/>
        <w:jc w:val="both"/>
        <w:rPr>
          <w:rFonts w:ascii="Arial" w:eastAsia="Times New Roman" w:hAnsi="Arial" w:cs="Arial"/>
          <w:bCs/>
          <w:sz w:val="24"/>
          <w:szCs w:val="24"/>
          <w:lang w:val="es-CL"/>
        </w:rPr>
      </w:pPr>
      <w:r w:rsidRPr="00B566E9">
        <w:rPr>
          <w:rFonts w:ascii="Arial" w:eastAsia="Times New Roman" w:hAnsi="Arial" w:cs="Arial"/>
          <w:bCs/>
          <w:sz w:val="24"/>
          <w:szCs w:val="24"/>
          <w:lang w:val="es-CL"/>
        </w:rPr>
        <w:t>En virtud de la negativa en sede administrativa, la parte recurrente solicitó ante los tribunales de justicia la rectificación de su partida de nacimiento, petición que fue rechazada por el tribunal de primera instancia por los mismos fundamentos esgrimidos por el organismo registral. En consecuencia, se interpuso un recurso de apelación, alegando que la falta de reconocimiento de la identidad de género de la parte recurrente le ha provocado dificultades para desarrollarse como persona y ha menoscabado su integridad física y emocional.</w:t>
      </w:r>
    </w:p>
    <w:p w14:paraId="1146B953" w14:textId="77777777" w:rsidR="0013143C" w:rsidRPr="00B566E9" w:rsidRDefault="0013143C" w:rsidP="00525626">
      <w:pPr>
        <w:spacing w:line="360" w:lineRule="auto"/>
        <w:jc w:val="both"/>
        <w:rPr>
          <w:rFonts w:ascii="Arial" w:eastAsia="Times New Roman" w:hAnsi="Arial" w:cs="Arial"/>
          <w:bCs/>
          <w:sz w:val="24"/>
          <w:szCs w:val="24"/>
          <w:lang w:val="es-CL"/>
        </w:rPr>
      </w:pPr>
    </w:p>
    <w:p w14:paraId="6D7F4A03" w14:textId="0E1C12E4" w:rsidR="001B7AEE" w:rsidRPr="00352440" w:rsidRDefault="00FF752F" w:rsidP="00807AC1">
      <w:pPr>
        <w:pStyle w:val="Prrafodelista"/>
        <w:numPr>
          <w:ilvl w:val="0"/>
          <w:numId w:val="4"/>
        </w:numPr>
        <w:spacing w:line="360" w:lineRule="auto"/>
        <w:jc w:val="both"/>
        <w:rPr>
          <w:rFonts w:ascii="Arial" w:eastAsia="Times New Roman" w:hAnsi="Arial" w:cs="Arial"/>
          <w:b/>
          <w:sz w:val="24"/>
          <w:szCs w:val="24"/>
        </w:rPr>
      </w:pPr>
      <w:r w:rsidRPr="00352440">
        <w:rPr>
          <w:rFonts w:ascii="Arial" w:eastAsia="Times New Roman" w:hAnsi="Arial" w:cs="Arial"/>
          <w:b/>
          <w:sz w:val="24"/>
          <w:szCs w:val="24"/>
        </w:rPr>
        <w:t>DERECHO</w:t>
      </w:r>
    </w:p>
    <w:p w14:paraId="4F68D03B" w14:textId="53ABECE8" w:rsidR="0099686E" w:rsidRPr="0099686E" w:rsidRDefault="0099686E" w:rsidP="0099686E">
      <w:pPr>
        <w:pStyle w:val="font-claude-response-body"/>
        <w:spacing w:line="360" w:lineRule="auto"/>
        <w:jc w:val="both"/>
        <w:rPr>
          <w:rFonts w:ascii="Arial" w:hAnsi="Arial" w:cs="Arial"/>
        </w:rPr>
      </w:pPr>
      <w:r w:rsidRPr="0099686E">
        <w:rPr>
          <w:rFonts w:ascii="Arial" w:hAnsi="Arial" w:cs="Arial"/>
        </w:rPr>
        <w:t>El tribunal de alzada acogió el recurso, por considerar que existía un error en la inscripción registral al consignar en el sexo registral de la parte recurrente la categoría "masculino", pues esta no refleja su identidad de género, señalando que dicha inconsistencia vulnera su dignidad humana. Agregó que el hecho de que solo existan las opciones "femenino" y "masculino" para las partidas de nacimiento no puede ser obstáculo para reconocer la identidad de género e inclusión de todas las personas, señalando que es deber del Estado otorgar protección y adoptar las medidas necesarias para consagrar el derecho a la identidad de género.</w:t>
      </w:r>
    </w:p>
    <w:p w14:paraId="2D2ACCBE" w14:textId="77777777" w:rsidR="0098277D" w:rsidRDefault="004B4059" w:rsidP="0099686E">
      <w:pPr>
        <w:pStyle w:val="font-claude-response-body"/>
        <w:spacing w:line="360" w:lineRule="auto"/>
        <w:jc w:val="both"/>
        <w:rPr>
          <w:rFonts w:ascii="Arial" w:hAnsi="Arial" w:cs="Arial"/>
          <w:lang w:val="es-ES"/>
        </w:rPr>
      </w:pPr>
      <w:r w:rsidRPr="004B4059">
        <w:rPr>
          <w:rFonts w:ascii="Arial" w:hAnsi="Arial" w:cs="Arial"/>
          <w:lang w:val="es-ES"/>
        </w:rPr>
        <w:t>La decisión se fundó en que, por una parte, el artículo 31 de la Ley N°4.808 sobre Registro Civil, señala que el nombre de la partida de nacimiento no debe ser equívoco respecto de del sexo registral</w:t>
      </w:r>
      <w:r>
        <w:rPr>
          <w:rFonts w:ascii="Arial" w:hAnsi="Arial" w:cs="Arial"/>
          <w:lang w:val="es-ES"/>
        </w:rPr>
        <w:t xml:space="preserve">. </w:t>
      </w:r>
      <w:r w:rsidR="0099686E" w:rsidRPr="0099686E">
        <w:rPr>
          <w:rFonts w:ascii="Arial" w:hAnsi="Arial" w:cs="Arial"/>
        </w:rPr>
        <w:t>Sin embargo, dicha disposición debe interpretarse a la luz de otras normativas nacionales e internacionales</w:t>
      </w:r>
      <w:r w:rsidR="0098277D" w:rsidRPr="0098277D">
        <w:rPr>
          <w:rFonts w:ascii="Arial" w:hAnsi="Arial" w:cs="Arial"/>
          <w:lang w:val="es-ES"/>
        </w:rPr>
        <w:t>, tales como la Convención Americana de Derechos Humanos, que en sus artículos 18, 7.1 y 11.2 establece el derecho al nombre, a la libertad y a la vida privada; además de otorgar a los Estados el deber de respetar y garantizar dichos derechos sin discriminación alguna, en virtud de los artículos 1.1 y 24.</w:t>
      </w:r>
    </w:p>
    <w:p w14:paraId="01470FE6" w14:textId="51828110" w:rsidR="0098277D" w:rsidRDefault="0098277D" w:rsidP="0099686E">
      <w:pPr>
        <w:pStyle w:val="font-claude-response-body"/>
        <w:spacing w:line="360" w:lineRule="auto"/>
        <w:jc w:val="both"/>
        <w:rPr>
          <w:rFonts w:ascii="Arial" w:hAnsi="Arial" w:cs="Arial"/>
        </w:rPr>
      </w:pPr>
      <w:r w:rsidRPr="0098277D">
        <w:rPr>
          <w:rFonts w:ascii="Arial" w:hAnsi="Arial" w:cs="Arial"/>
          <w:lang w:val="es-ES"/>
        </w:rPr>
        <w:t>En cuanto a la normativa nacional que sustenta el fallo, la Ley N°21.120 que Reconoce y da Protección al Derecho a la Identidad de Género, establece en sus artículos 3 y 4 el derecho a la identidad de género en relación al nombre y sexo y el derecho a su reconocimiento en instrumentos públicos y privados, sin limitación o restricción alguna.</w:t>
      </w:r>
    </w:p>
    <w:p w14:paraId="1716B537" w14:textId="24A7CDD3" w:rsidR="0099686E" w:rsidRPr="0099686E" w:rsidRDefault="0049568B" w:rsidP="0099686E">
      <w:pPr>
        <w:pStyle w:val="font-claude-response-body"/>
        <w:spacing w:line="360" w:lineRule="auto"/>
        <w:jc w:val="both"/>
        <w:rPr>
          <w:rFonts w:ascii="Arial" w:hAnsi="Arial" w:cs="Arial"/>
        </w:rPr>
      </w:pPr>
      <w:r w:rsidRPr="0049568B">
        <w:rPr>
          <w:rFonts w:ascii="Arial" w:hAnsi="Arial" w:cs="Arial"/>
          <w:lang w:val="es-ES"/>
        </w:rPr>
        <w:t>Por estas consideraciones, se acogió el recurso de apelación, ordenando al Servicio de Registro Civil e Identificación a rectificar la partida de nacimiento de la parte recurrente, señalando en la categoría de sexo registral “no binario” a través del marcador “X”.</w:t>
      </w:r>
    </w:p>
    <w:p w14:paraId="287EA7E4" w14:textId="5D32B17C" w:rsidR="002854D2" w:rsidRPr="002854D2" w:rsidRDefault="002854D2" w:rsidP="0099686E">
      <w:pPr>
        <w:pStyle w:val="font-claude-response-body"/>
        <w:spacing w:line="360" w:lineRule="auto"/>
        <w:jc w:val="both"/>
        <w:rPr>
          <w:rFonts w:ascii="Arial" w:hAnsi="Arial" w:cs="Arial"/>
        </w:rPr>
      </w:pPr>
    </w:p>
    <w:p w14:paraId="3B33363C" w14:textId="3C5C8742" w:rsidR="007C5E52" w:rsidRPr="002854D2" w:rsidRDefault="007C5E52" w:rsidP="00225AFF">
      <w:pPr>
        <w:pStyle w:val="font-claude-response-body"/>
        <w:spacing w:line="360" w:lineRule="auto"/>
        <w:jc w:val="both"/>
        <w:rPr>
          <w:rFonts w:ascii="Arial" w:hAnsi="Arial" w:cs="Arial"/>
        </w:rPr>
      </w:pPr>
    </w:p>
    <w:sectPr w:rsidR="007C5E52" w:rsidRPr="002854D2" w:rsidSect="00096CE7">
      <w:headerReference w:type="default" r:id="rId9"/>
      <w:footerReference w:type="even" r:id="rId10"/>
      <w:footerReference w:type="default" r:id="rId11"/>
      <w:pgSz w:w="12240" w:h="15840"/>
      <w:pgMar w:top="1418" w:right="1418" w:bottom="1418" w:left="1418"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163EE" w14:textId="77777777" w:rsidR="00352835" w:rsidRDefault="00352835" w:rsidP="00685413">
      <w:pPr>
        <w:spacing w:after="0" w:line="240" w:lineRule="auto"/>
      </w:pPr>
      <w:r>
        <w:separator/>
      </w:r>
    </w:p>
  </w:endnote>
  <w:endnote w:type="continuationSeparator" w:id="0">
    <w:p w14:paraId="4673CA63" w14:textId="77777777" w:rsidR="00352835" w:rsidRDefault="00352835" w:rsidP="00685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87147321"/>
      <w:docPartObj>
        <w:docPartGallery w:val="Page Numbers (Bottom of Page)"/>
        <w:docPartUnique/>
      </w:docPartObj>
    </w:sdtPr>
    <w:sdtEndPr>
      <w:rPr>
        <w:rStyle w:val="Nmerodepgina"/>
      </w:rPr>
    </w:sdtEndPr>
    <w:sdtContent>
      <w:p w14:paraId="6068538F" w14:textId="34ABE6C6"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CB17F2B" w14:textId="77777777" w:rsidR="00207B39" w:rsidRDefault="00207B39" w:rsidP="002B0BC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543059073"/>
      <w:docPartObj>
        <w:docPartGallery w:val="Page Numbers (Bottom of Page)"/>
        <w:docPartUnique/>
      </w:docPartObj>
    </w:sdtPr>
    <w:sdtEndPr>
      <w:rPr>
        <w:rStyle w:val="Nmerodepgina"/>
      </w:rPr>
    </w:sdtEndPr>
    <w:sdtContent>
      <w:p w14:paraId="40A6145D" w14:textId="6D2115CB"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E5E96">
          <w:rPr>
            <w:rStyle w:val="Nmerodepgina"/>
            <w:noProof/>
          </w:rPr>
          <w:t>4</w:t>
        </w:r>
        <w:r>
          <w:rPr>
            <w:rStyle w:val="Nmerodepgina"/>
          </w:rPr>
          <w:fldChar w:fldCharType="end"/>
        </w:r>
      </w:p>
    </w:sdtContent>
  </w:sdt>
  <w:p w14:paraId="0732BDC0" w14:textId="77777777" w:rsidR="00207B39" w:rsidRDefault="00207B39" w:rsidP="002B0BC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D87172" w14:textId="77777777" w:rsidR="00352835" w:rsidRDefault="00352835" w:rsidP="00685413">
      <w:pPr>
        <w:spacing w:after="0" w:line="240" w:lineRule="auto"/>
      </w:pPr>
      <w:r>
        <w:separator/>
      </w:r>
    </w:p>
  </w:footnote>
  <w:footnote w:type="continuationSeparator" w:id="0">
    <w:p w14:paraId="23DC4F21" w14:textId="77777777" w:rsidR="00352835" w:rsidRDefault="00352835" w:rsidP="006854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4DA2E" w14:textId="7B0915AC" w:rsidR="00685413" w:rsidRDefault="00985681">
    <w:pPr>
      <w:pStyle w:val="Encabezado"/>
      <w:rPr>
        <w:rFonts w:ascii="Times New Roman" w:hAnsi="Times New Roman" w:cs="Times New Roman"/>
        <w:i/>
        <w:iCs/>
        <w:sz w:val="20"/>
        <w:szCs w:val="20"/>
      </w:rPr>
    </w:pPr>
    <w:r>
      <w:rPr>
        <w:rFonts w:ascii="Times New Roman" w:hAnsi="Times New Roman" w:cs="Times New Roman"/>
        <w:i/>
        <w:iCs/>
        <w:sz w:val="20"/>
        <w:szCs w:val="20"/>
      </w:rPr>
      <w:tab/>
    </w:r>
    <w:r w:rsidR="008A0E5E">
      <w:rPr>
        <w:rFonts w:ascii="Times New Roman" w:hAnsi="Times New Roman" w:cs="Times New Roman"/>
        <w:i/>
        <w:iCs/>
        <w:sz w:val="20"/>
        <w:szCs w:val="20"/>
      </w:rPr>
      <w:tab/>
    </w:r>
  </w:p>
  <w:p w14:paraId="52BDF291" w14:textId="7FC220D5" w:rsidR="00A37F1C" w:rsidRDefault="00EF08A9" w:rsidP="00EF08A9">
    <w:pPr>
      <w:pStyle w:val="Encabezado"/>
      <w:jc w:val="right"/>
    </w:pPr>
    <w:r>
      <w:rPr>
        <w:noProof/>
        <w:lang w:val="es-CL"/>
      </w:rPr>
      <w:drawing>
        <wp:inline distT="0" distB="0" distL="0" distR="0" wp14:anchorId="55728B6E" wp14:editId="265BE523">
          <wp:extent cx="993775" cy="1120775"/>
          <wp:effectExtent l="0" t="0" r="0" b="3175"/>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993775" cy="1120775"/>
                  </a:xfrm>
                  <a:prstGeom prst="rect">
                    <a:avLst/>
                  </a:prstGeom>
                  <a:ln/>
                </pic:spPr>
              </pic:pic>
            </a:graphicData>
          </a:graphic>
        </wp:inline>
      </w:drawing>
    </w:r>
  </w:p>
  <w:p w14:paraId="7B411028" w14:textId="77777777" w:rsidR="00A37F1C" w:rsidRPr="00985681" w:rsidRDefault="00A37F1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75711"/>
    <w:multiLevelType w:val="multilevel"/>
    <w:tmpl w:val="DDAEDC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07C5DA6"/>
    <w:multiLevelType w:val="multilevel"/>
    <w:tmpl w:val="DF58B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031901"/>
    <w:multiLevelType w:val="multilevel"/>
    <w:tmpl w:val="01962EB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57A16AA"/>
    <w:multiLevelType w:val="hybridMultilevel"/>
    <w:tmpl w:val="D07CDB0E"/>
    <w:lvl w:ilvl="0" w:tplc="B1FECE7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64927E27"/>
    <w:multiLevelType w:val="hybridMultilevel"/>
    <w:tmpl w:val="724AE208"/>
    <w:lvl w:ilvl="0" w:tplc="4C141678">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262803798">
    <w:abstractNumId w:val="0"/>
  </w:num>
  <w:num w:numId="2" w16cid:durableId="1961523637">
    <w:abstractNumId w:val="2"/>
  </w:num>
  <w:num w:numId="3" w16cid:durableId="1258634254">
    <w:abstractNumId w:val="4"/>
  </w:num>
  <w:num w:numId="4" w16cid:durableId="567571567">
    <w:abstractNumId w:val="3"/>
  </w:num>
  <w:num w:numId="5" w16cid:durableId="12002377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28B0"/>
    <w:rsid w:val="00000B72"/>
    <w:rsid w:val="000043F5"/>
    <w:rsid w:val="00005B82"/>
    <w:rsid w:val="00006121"/>
    <w:rsid w:val="000202E6"/>
    <w:rsid w:val="000217F0"/>
    <w:rsid w:val="000229E8"/>
    <w:rsid w:val="00023BC4"/>
    <w:rsid w:val="00024248"/>
    <w:rsid w:val="0002546E"/>
    <w:rsid w:val="000265DF"/>
    <w:rsid w:val="00033516"/>
    <w:rsid w:val="000373B0"/>
    <w:rsid w:val="00043598"/>
    <w:rsid w:val="00044372"/>
    <w:rsid w:val="00050CB3"/>
    <w:rsid w:val="00051477"/>
    <w:rsid w:val="00053247"/>
    <w:rsid w:val="00055D4C"/>
    <w:rsid w:val="00060289"/>
    <w:rsid w:val="0006085A"/>
    <w:rsid w:val="000615A0"/>
    <w:rsid w:val="00066E65"/>
    <w:rsid w:val="000727D8"/>
    <w:rsid w:val="00075F7F"/>
    <w:rsid w:val="000770F6"/>
    <w:rsid w:val="00077B6B"/>
    <w:rsid w:val="0008102C"/>
    <w:rsid w:val="00083020"/>
    <w:rsid w:val="000830EB"/>
    <w:rsid w:val="00083E7D"/>
    <w:rsid w:val="0008520C"/>
    <w:rsid w:val="00085727"/>
    <w:rsid w:val="00087EEF"/>
    <w:rsid w:val="00091BD0"/>
    <w:rsid w:val="00092E98"/>
    <w:rsid w:val="00093132"/>
    <w:rsid w:val="000931B6"/>
    <w:rsid w:val="00093E47"/>
    <w:rsid w:val="00094EB4"/>
    <w:rsid w:val="000968BE"/>
    <w:rsid w:val="00096CE7"/>
    <w:rsid w:val="000A1409"/>
    <w:rsid w:val="000B0011"/>
    <w:rsid w:val="000B1387"/>
    <w:rsid w:val="000B1E22"/>
    <w:rsid w:val="000B3DD7"/>
    <w:rsid w:val="000B6B2D"/>
    <w:rsid w:val="000C442B"/>
    <w:rsid w:val="000C4E76"/>
    <w:rsid w:val="000C5157"/>
    <w:rsid w:val="000C5FAB"/>
    <w:rsid w:val="000C6539"/>
    <w:rsid w:val="000D2559"/>
    <w:rsid w:val="000D300B"/>
    <w:rsid w:val="000D316C"/>
    <w:rsid w:val="000D6208"/>
    <w:rsid w:val="000D6BBA"/>
    <w:rsid w:val="000E1CE7"/>
    <w:rsid w:val="000E783F"/>
    <w:rsid w:val="000F28FF"/>
    <w:rsid w:val="000F74A4"/>
    <w:rsid w:val="0010471F"/>
    <w:rsid w:val="0010526C"/>
    <w:rsid w:val="0010566C"/>
    <w:rsid w:val="001062BF"/>
    <w:rsid w:val="001069CF"/>
    <w:rsid w:val="00110D81"/>
    <w:rsid w:val="00111160"/>
    <w:rsid w:val="00113848"/>
    <w:rsid w:val="00113D9D"/>
    <w:rsid w:val="001140DB"/>
    <w:rsid w:val="00114512"/>
    <w:rsid w:val="0011735E"/>
    <w:rsid w:val="00125C25"/>
    <w:rsid w:val="0013143C"/>
    <w:rsid w:val="00131DF8"/>
    <w:rsid w:val="00135FCB"/>
    <w:rsid w:val="00136CF0"/>
    <w:rsid w:val="00137CEC"/>
    <w:rsid w:val="00145602"/>
    <w:rsid w:val="00145D8E"/>
    <w:rsid w:val="00145EEF"/>
    <w:rsid w:val="0014768F"/>
    <w:rsid w:val="00150D62"/>
    <w:rsid w:val="0015199F"/>
    <w:rsid w:val="00154636"/>
    <w:rsid w:val="00162884"/>
    <w:rsid w:val="00173678"/>
    <w:rsid w:val="001834B9"/>
    <w:rsid w:val="001874A8"/>
    <w:rsid w:val="00187BB6"/>
    <w:rsid w:val="00187ECC"/>
    <w:rsid w:val="001942E5"/>
    <w:rsid w:val="00194814"/>
    <w:rsid w:val="00195D98"/>
    <w:rsid w:val="00197ECB"/>
    <w:rsid w:val="001A05E4"/>
    <w:rsid w:val="001A1D94"/>
    <w:rsid w:val="001A5B5C"/>
    <w:rsid w:val="001A6D99"/>
    <w:rsid w:val="001A6E5D"/>
    <w:rsid w:val="001B608A"/>
    <w:rsid w:val="001B7AEE"/>
    <w:rsid w:val="001C46B5"/>
    <w:rsid w:val="001C6796"/>
    <w:rsid w:val="001D31A0"/>
    <w:rsid w:val="001D51E7"/>
    <w:rsid w:val="001D6F9A"/>
    <w:rsid w:val="001E316E"/>
    <w:rsid w:val="001E340E"/>
    <w:rsid w:val="001E3F84"/>
    <w:rsid w:val="001E71EF"/>
    <w:rsid w:val="001F5D8A"/>
    <w:rsid w:val="001F7843"/>
    <w:rsid w:val="00200C25"/>
    <w:rsid w:val="002021E2"/>
    <w:rsid w:val="00202EC5"/>
    <w:rsid w:val="00204769"/>
    <w:rsid w:val="002063A7"/>
    <w:rsid w:val="00207B39"/>
    <w:rsid w:val="00212B17"/>
    <w:rsid w:val="00217DDC"/>
    <w:rsid w:val="00220DB8"/>
    <w:rsid w:val="00222B85"/>
    <w:rsid w:val="00222DA0"/>
    <w:rsid w:val="00225AFF"/>
    <w:rsid w:val="00226F1A"/>
    <w:rsid w:val="00233532"/>
    <w:rsid w:val="0023390A"/>
    <w:rsid w:val="00237259"/>
    <w:rsid w:val="00240D99"/>
    <w:rsid w:val="00243669"/>
    <w:rsid w:val="0024717E"/>
    <w:rsid w:val="002473EF"/>
    <w:rsid w:val="00247C1D"/>
    <w:rsid w:val="00247E8A"/>
    <w:rsid w:val="002541A6"/>
    <w:rsid w:val="00254462"/>
    <w:rsid w:val="002576E7"/>
    <w:rsid w:val="00260A12"/>
    <w:rsid w:val="002634EF"/>
    <w:rsid w:val="00265E7E"/>
    <w:rsid w:val="00266C2C"/>
    <w:rsid w:val="0027334C"/>
    <w:rsid w:val="002755F8"/>
    <w:rsid w:val="002854D2"/>
    <w:rsid w:val="002930D1"/>
    <w:rsid w:val="0029394C"/>
    <w:rsid w:val="00295984"/>
    <w:rsid w:val="002966C7"/>
    <w:rsid w:val="002968FE"/>
    <w:rsid w:val="002A1A3E"/>
    <w:rsid w:val="002A36BF"/>
    <w:rsid w:val="002A6038"/>
    <w:rsid w:val="002A64A1"/>
    <w:rsid w:val="002A72DB"/>
    <w:rsid w:val="002B0BCD"/>
    <w:rsid w:val="002B3AD1"/>
    <w:rsid w:val="002B4381"/>
    <w:rsid w:val="002B6A28"/>
    <w:rsid w:val="002B7CAC"/>
    <w:rsid w:val="002C572C"/>
    <w:rsid w:val="002C66B2"/>
    <w:rsid w:val="002D25CC"/>
    <w:rsid w:val="002D442C"/>
    <w:rsid w:val="002D491B"/>
    <w:rsid w:val="002D60D0"/>
    <w:rsid w:val="002E0F83"/>
    <w:rsid w:val="002E4A7F"/>
    <w:rsid w:val="002E546F"/>
    <w:rsid w:val="002F00DB"/>
    <w:rsid w:val="002F1EC5"/>
    <w:rsid w:val="002F4C15"/>
    <w:rsid w:val="002F6178"/>
    <w:rsid w:val="002F750C"/>
    <w:rsid w:val="0030079F"/>
    <w:rsid w:val="00300B9C"/>
    <w:rsid w:val="00300EF3"/>
    <w:rsid w:val="00303492"/>
    <w:rsid w:val="00303822"/>
    <w:rsid w:val="00305137"/>
    <w:rsid w:val="00305ED8"/>
    <w:rsid w:val="00311AEC"/>
    <w:rsid w:val="00315D44"/>
    <w:rsid w:val="003203F3"/>
    <w:rsid w:val="00321810"/>
    <w:rsid w:val="00322CD2"/>
    <w:rsid w:val="003262F7"/>
    <w:rsid w:val="00333ED9"/>
    <w:rsid w:val="0033401B"/>
    <w:rsid w:val="00337D05"/>
    <w:rsid w:val="00351D0F"/>
    <w:rsid w:val="00352440"/>
    <w:rsid w:val="00352835"/>
    <w:rsid w:val="00357547"/>
    <w:rsid w:val="00363A98"/>
    <w:rsid w:val="003704C7"/>
    <w:rsid w:val="00370561"/>
    <w:rsid w:val="00376694"/>
    <w:rsid w:val="00384658"/>
    <w:rsid w:val="0038658F"/>
    <w:rsid w:val="00390D69"/>
    <w:rsid w:val="003924C8"/>
    <w:rsid w:val="0039727A"/>
    <w:rsid w:val="003A4909"/>
    <w:rsid w:val="003B17E0"/>
    <w:rsid w:val="003B1F70"/>
    <w:rsid w:val="003B2727"/>
    <w:rsid w:val="003C112D"/>
    <w:rsid w:val="003C145F"/>
    <w:rsid w:val="003C14DC"/>
    <w:rsid w:val="003C2E7A"/>
    <w:rsid w:val="003C407A"/>
    <w:rsid w:val="003C408E"/>
    <w:rsid w:val="003C4BEE"/>
    <w:rsid w:val="003C4D53"/>
    <w:rsid w:val="003C4DCE"/>
    <w:rsid w:val="003D0A83"/>
    <w:rsid w:val="003D323A"/>
    <w:rsid w:val="003D43F2"/>
    <w:rsid w:val="003E0894"/>
    <w:rsid w:val="003E1985"/>
    <w:rsid w:val="003E5981"/>
    <w:rsid w:val="003E710A"/>
    <w:rsid w:val="003E71A1"/>
    <w:rsid w:val="003F0985"/>
    <w:rsid w:val="003F1C76"/>
    <w:rsid w:val="003F5F5A"/>
    <w:rsid w:val="003F6373"/>
    <w:rsid w:val="003F6B25"/>
    <w:rsid w:val="003F7115"/>
    <w:rsid w:val="00400C58"/>
    <w:rsid w:val="004011FE"/>
    <w:rsid w:val="00401D0B"/>
    <w:rsid w:val="00403850"/>
    <w:rsid w:val="004066EE"/>
    <w:rsid w:val="00411BE4"/>
    <w:rsid w:val="00415C03"/>
    <w:rsid w:val="0042079B"/>
    <w:rsid w:val="00426605"/>
    <w:rsid w:val="00426D54"/>
    <w:rsid w:val="00431AA2"/>
    <w:rsid w:val="004350B3"/>
    <w:rsid w:val="00435B06"/>
    <w:rsid w:val="00440CAA"/>
    <w:rsid w:val="0044607C"/>
    <w:rsid w:val="00451D40"/>
    <w:rsid w:val="00454468"/>
    <w:rsid w:val="0045483D"/>
    <w:rsid w:val="004563EC"/>
    <w:rsid w:val="004602D3"/>
    <w:rsid w:val="004608F2"/>
    <w:rsid w:val="00463584"/>
    <w:rsid w:val="00466B39"/>
    <w:rsid w:val="004749A2"/>
    <w:rsid w:val="00474AEE"/>
    <w:rsid w:val="00474B7A"/>
    <w:rsid w:val="00475BC2"/>
    <w:rsid w:val="00481490"/>
    <w:rsid w:val="00482223"/>
    <w:rsid w:val="0048295F"/>
    <w:rsid w:val="0048409D"/>
    <w:rsid w:val="00484670"/>
    <w:rsid w:val="004867EE"/>
    <w:rsid w:val="00487E54"/>
    <w:rsid w:val="004918AE"/>
    <w:rsid w:val="00491E96"/>
    <w:rsid w:val="00492FA3"/>
    <w:rsid w:val="0049568B"/>
    <w:rsid w:val="004A0985"/>
    <w:rsid w:val="004A3FAF"/>
    <w:rsid w:val="004A43BC"/>
    <w:rsid w:val="004A4735"/>
    <w:rsid w:val="004B1F3A"/>
    <w:rsid w:val="004B4059"/>
    <w:rsid w:val="004B79D0"/>
    <w:rsid w:val="004C0733"/>
    <w:rsid w:val="004C3126"/>
    <w:rsid w:val="004C5DD2"/>
    <w:rsid w:val="004C7713"/>
    <w:rsid w:val="004C7900"/>
    <w:rsid w:val="004D32D0"/>
    <w:rsid w:val="004D4EB2"/>
    <w:rsid w:val="004D5CCE"/>
    <w:rsid w:val="004E0BFE"/>
    <w:rsid w:val="004E195C"/>
    <w:rsid w:val="004E1DF3"/>
    <w:rsid w:val="004E2279"/>
    <w:rsid w:val="004E25E9"/>
    <w:rsid w:val="004E3293"/>
    <w:rsid w:val="004E331D"/>
    <w:rsid w:val="004E44FE"/>
    <w:rsid w:val="004E55BF"/>
    <w:rsid w:val="004E5FEC"/>
    <w:rsid w:val="004E69EE"/>
    <w:rsid w:val="004F373A"/>
    <w:rsid w:val="004F3BEC"/>
    <w:rsid w:val="004F4D91"/>
    <w:rsid w:val="004F7265"/>
    <w:rsid w:val="004F7767"/>
    <w:rsid w:val="00503CA7"/>
    <w:rsid w:val="0051354C"/>
    <w:rsid w:val="005151DE"/>
    <w:rsid w:val="00515447"/>
    <w:rsid w:val="00515C1A"/>
    <w:rsid w:val="005214D0"/>
    <w:rsid w:val="00521D3C"/>
    <w:rsid w:val="00521E68"/>
    <w:rsid w:val="00523D0D"/>
    <w:rsid w:val="00523ED5"/>
    <w:rsid w:val="00525626"/>
    <w:rsid w:val="00534298"/>
    <w:rsid w:val="005402EE"/>
    <w:rsid w:val="005425BD"/>
    <w:rsid w:val="005438C7"/>
    <w:rsid w:val="005453F1"/>
    <w:rsid w:val="00546759"/>
    <w:rsid w:val="00546EDD"/>
    <w:rsid w:val="00547F8F"/>
    <w:rsid w:val="00552AB8"/>
    <w:rsid w:val="00554BA1"/>
    <w:rsid w:val="00554C00"/>
    <w:rsid w:val="005631E9"/>
    <w:rsid w:val="00563638"/>
    <w:rsid w:val="005727F1"/>
    <w:rsid w:val="0057434C"/>
    <w:rsid w:val="00575BA2"/>
    <w:rsid w:val="00577005"/>
    <w:rsid w:val="00581097"/>
    <w:rsid w:val="00581C5E"/>
    <w:rsid w:val="00582B7A"/>
    <w:rsid w:val="00584064"/>
    <w:rsid w:val="00587AEE"/>
    <w:rsid w:val="00587AFE"/>
    <w:rsid w:val="005902BF"/>
    <w:rsid w:val="00590542"/>
    <w:rsid w:val="005933FB"/>
    <w:rsid w:val="00593A7D"/>
    <w:rsid w:val="005949E0"/>
    <w:rsid w:val="00596A40"/>
    <w:rsid w:val="005A0892"/>
    <w:rsid w:val="005A1B7B"/>
    <w:rsid w:val="005A444B"/>
    <w:rsid w:val="005A6FD6"/>
    <w:rsid w:val="005B0F28"/>
    <w:rsid w:val="005B20A3"/>
    <w:rsid w:val="005B50C4"/>
    <w:rsid w:val="005C0F6C"/>
    <w:rsid w:val="005C2BBC"/>
    <w:rsid w:val="005C2C83"/>
    <w:rsid w:val="005C325C"/>
    <w:rsid w:val="005C5B4B"/>
    <w:rsid w:val="005D1B92"/>
    <w:rsid w:val="005D3F94"/>
    <w:rsid w:val="005D7911"/>
    <w:rsid w:val="005E6CF3"/>
    <w:rsid w:val="005E7DE6"/>
    <w:rsid w:val="005F45D4"/>
    <w:rsid w:val="005F618F"/>
    <w:rsid w:val="00600502"/>
    <w:rsid w:val="0060118D"/>
    <w:rsid w:val="00601BD8"/>
    <w:rsid w:val="006021C8"/>
    <w:rsid w:val="006107A1"/>
    <w:rsid w:val="006107A2"/>
    <w:rsid w:val="006121C5"/>
    <w:rsid w:val="0061564B"/>
    <w:rsid w:val="00615ADF"/>
    <w:rsid w:val="0061643A"/>
    <w:rsid w:val="006228DF"/>
    <w:rsid w:val="00622A40"/>
    <w:rsid w:val="0062597A"/>
    <w:rsid w:val="00626985"/>
    <w:rsid w:val="00631010"/>
    <w:rsid w:val="0063260D"/>
    <w:rsid w:val="00632B4B"/>
    <w:rsid w:val="00634F96"/>
    <w:rsid w:val="00637F5B"/>
    <w:rsid w:val="00642983"/>
    <w:rsid w:val="00646A1F"/>
    <w:rsid w:val="0064763B"/>
    <w:rsid w:val="00653CBE"/>
    <w:rsid w:val="00656CE8"/>
    <w:rsid w:val="00656CF9"/>
    <w:rsid w:val="006626F6"/>
    <w:rsid w:val="00665937"/>
    <w:rsid w:val="00667F53"/>
    <w:rsid w:val="00672894"/>
    <w:rsid w:val="0067359C"/>
    <w:rsid w:val="00674B83"/>
    <w:rsid w:val="00675CEC"/>
    <w:rsid w:val="0067751D"/>
    <w:rsid w:val="006800AD"/>
    <w:rsid w:val="00680AE3"/>
    <w:rsid w:val="00680D74"/>
    <w:rsid w:val="006821F5"/>
    <w:rsid w:val="00682424"/>
    <w:rsid w:val="0068295E"/>
    <w:rsid w:val="00685413"/>
    <w:rsid w:val="006916D2"/>
    <w:rsid w:val="00694E2C"/>
    <w:rsid w:val="006A07FE"/>
    <w:rsid w:val="006A3CE6"/>
    <w:rsid w:val="006A7858"/>
    <w:rsid w:val="006B0796"/>
    <w:rsid w:val="006B15F7"/>
    <w:rsid w:val="006B1FC1"/>
    <w:rsid w:val="006B6C79"/>
    <w:rsid w:val="006C0CF3"/>
    <w:rsid w:val="006C256C"/>
    <w:rsid w:val="006C4DD6"/>
    <w:rsid w:val="006C634C"/>
    <w:rsid w:val="006C702C"/>
    <w:rsid w:val="006D172E"/>
    <w:rsid w:val="006D3793"/>
    <w:rsid w:val="006D44F1"/>
    <w:rsid w:val="006D48F5"/>
    <w:rsid w:val="006D691C"/>
    <w:rsid w:val="006F260E"/>
    <w:rsid w:val="006F2657"/>
    <w:rsid w:val="006F5CB0"/>
    <w:rsid w:val="006F7E03"/>
    <w:rsid w:val="007010AB"/>
    <w:rsid w:val="0070409C"/>
    <w:rsid w:val="00704119"/>
    <w:rsid w:val="00707142"/>
    <w:rsid w:val="00710602"/>
    <w:rsid w:val="00711A73"/>
    <w:rsid w:val="00714A84"/>
    <w:rsid w:val="007175E1"/>
    <w:rsid w:val="00717E11"/>
    <w:rsid w:val="007201F3"/>
    <w:rsid w:val="00721E49"/>
    <w:rsid w:val="007222BF"/>
    <w:rsid w:val="00723756"/>
    <w:rsid w:val="00725B30"/>
    <w:rsid w:val="007320FE"/>
    <w:rsid w:val="007331AF"/>
    <w:rsid w:val="00734658"/>
    <w:rsid w:val="00736EB7"/>
    <w:rsid w:val="0074002B"/>
    <w:rsid w:val="00740CD5"/>
    <w:rsid w:val="00740D1B"/>
    <w:rsid w:val="00751B7A"/>
    <w:rsid w:val="00756008"/>
    <w:rsid w:val="00756475"/>
    <w:rsid w:val="0076246B"/>
    <w:rsid w:val="00763963"/>
    <w:rsid w:val="00763DD1"/>
    <w:rsid w:val="007648C3"/>
    <w:rsid w:val="00776427"/>
    <w:rsid w:val="00786C0C"/>
    <w:rsid w:val="007928AB"/>
    <w:rsid w:val="007A05AE"/>
    <w:rsid w:val="007A55F6"/>
    <w:rsid w:val="007A6568"/>
    <w:rsid w:val="007A6A26"/>
    <w:rsid w:val="007A7101"/>
    <w:rsid w:val="007B1C6E"/>
    <w:rsid w:val="007B1D0B"/>
    <w:rsid w:val="007B6837"/>
    <w:rsid w:val="007B6C9E"/>
    <w:rsid w:val="007C3F2B"/>
    <w:rsid w:val="007C4CB9"/>
    <w:rsid w:val="007C5E52"/>
    <w:rsid w:val="007D08F3"/>
    <w:rsid w:val="007D0929"/>
    <w:rsid w:val="007D0A7E"/>
    <w:rsid w:val="007D475F"/>
    <w:rsid w:val="007E1BCA"/>
    <w:rsid w:val="007E2B68"/>
    <w:rsid w:val="007E36F2"/>
    <w:rsid w:val="007E4EB8"/>
    <w:rsid w:val="007E7034"/>
    <w:rsid w:val="007E786D"/>
    <w:rsid w:val="007F2DB1"/>
    <w:rsid w:val="007F2FBC"/>
    <w:rsid w:val="007F3E88"/>
    <w:rsid w:val="008000A4"/>
    <w:rsid w:val="00807AC1"/>
    <w:rsid w:val="008113E4"/>
    <w:rsid w:val="00811D75"/>
    <w:rsid w:val="0081326C"/>
    <w:rsid w:val="008134EF"/>
    <w:rsid w:val="00813AD1"/>
    <w:rsid w:val="00815C6E"/>
    <w:rsid w:val="00816497"/>
    <w:rsid w:val="00823E10"/>
    <w:rsid w:val="00830821"/>
    <w:rsid w:val="00830D6E"/>
    <w:rsid w:val="00831352"/>
    <w:rsid w:val="0083167C"/>
    <w:rsid w:val="00832EB3"/>
    <w:rsid w:val="00834DF0"/>
    <w:rsid w:val="0083745D"/>
    <w:rsid w:val="008400FC"/>
    <w:rsid w:val="00844203"/>
    <w:rsid w:val="00850B40"/>
    <w:rsid w:val="00851381"/>
    <w:rsid w:val="00852953"/>
    <w:rsid w:val="008535ED"/>
    <w:rsid w:val="00855B56"/>
    <w:rsid w:val="00856FC8"/>
    <w:rsid w:val="008626A0"/>
    <w:rsid w:val="00864C7A"/>
    <w:rsid w:val="00866D3F"/>
    <w:rsid w:val="0087433A"/>
    <w:rsid w:val="00883441"/>
    <w:rsid w:val="00886D3F"/>
    <w:rsid w:val="00887B3C"/>
    <w:rsid w:val="00890750"/>
    <w:rsid w:val="00890D88"/>
    <w:rsid w:val="008918BA"/>
    <w:rsid w:val="008957A9"/>
    <w:rsid w:val="008976E2"/>
    <w:rsid w:val="008A0E5E"/>
    <w:rsid w:val="008A0FFD"/>
    <w:rsid w:val="008A136B"/>
    <w:rsid w:val="008A1C10"/>
    <w:rsid w:val="008A2932"/>
    <w:rsid w:val="008B2553"/>
    <w:rsid w:val="008B26ED"/>
    <w:rsid w:val="008B4497"/>
    <w:rsid w:val="008B5EB3"/>
    <w:rsid w:val="008B77FD"/>
    <w:rsid w:val="008C595F"/>
    <w:rsid w:val="008C6316"/>
    <w:rsid w:val="008C647A"/>
    <w:rsid w:val="008D39C5"/>
    <w:rsid w:val="008E263D"/>
    <w:rsid w:val="008E2C2E"/>
    <w:rsid w:val="008E444A"/>
    <w:rsid w:val="008E5E96"/>
    <w:rsid w:val="008E6642"/>
    <w:rsid w:val="008F2113"/>
    <w:rsid w:val="008F2B34"/>
    <w:rsid w:val="008F3E19"/>
    <w:rsid w:val="008F42C6"/>
    <w:rsid w:val="008F4BA5"/>
    <w:rsid w:val="008F65EA"/>
    <w:rsid w:val="00900897"/>
    <w:rsid w:val="009018CA"/>
    <w:rsid w:val="009031D9"/>
    <w:rsid w:val="009041AE"/>
    <w:rsid w:val="009056C6"/>
    <w:rsid w:val="00916715"/>
    <w:rsid w:val="00916DB0"/>
    <w:rsid w:val="00923A73"/>
    <w:rsid w:val="00932259"/>
    <w:rsid w:val="00932F66"/>
    <w:rsid w:val="00934235"/>
    <w:rsid w:val="009356FA"/>
    <w:rsid w:val="00944CE6"/>
    <w:rsid w:val="00950E1C"/>
    <w:rsid w:val="00952287"/>
    <w:rsid w:val="009564C8"/>
    <w:rsid w:val="009619D8"/>
    <w:rsid w:val="0096373C"/>
    <w:rsid w:val="00966D93"/>
    <w:rsid w:val="00967527"/>
    <w:rsid w:val="00971E1E"/>
    <w:rsid w:val="00972755"/>
    <w:rsid w:val="00972F78"/>
    <w:rsid w:val="00974A94"/>
    <w:rsid w:val="00975F46"/>
    <w:rsid w:val="0098277D"/>
    <w:rsid w:val="00984CFD"/>
    <w:rsid w:val="00985681"/>
    <w:rsid w:val="009937EA"/>
    <w:rsid w:val="0099686E"/>
    <w:rsid w:val="009A00C8"/>
    <w:rsid w:val="009A1C67"/>
    <w:rsid w:val="009A2166"/>
    <w:rsid w:val="009A3691"/>
    <w:rsid w:val="009A7A80"/>
    <w:rsid w:val="009B0AF6"/>
    <w:rsid w:val="009B0D04"/>
    <w:rsid w:val="009B5A7C"/>
    <w:rsid w:val="009B628A"/>
    <w:rsid w:val="009C3050"/>
    <w:rsid w:val="009C4D73"/>
    <w:rsid w:val="009C59C8"/>
    <w:rsid w:val="009C5F45"/>
    <w:rsid w:val="009C7C24"/>
    <w:rsid w:val="009D0EDF"/>
    <w:rsid w:val="009D3FFE"/>
    <w:rsid w:val="009D6B60"/>
    <w:rsid w:val="009D7D8C"/>
    <w:rsid w:val="009D7FB2"/>
    <w:rsid w:val="009F42A7"/>
    <w:rsid w:val="009F615B"/>
    <w:rsid w:val="009F7250"/>
    <w:rsid w:val="00A02069"/>
    <w:rsid w:val="00A026F9"/>
    <w:rsid w:val="00A02E98"/>
    <w:rsid w:val="00A074A3"/>
    <w:rsid w:val="00A074A5"/>
    <w:rsid w:val="00A11620"/>
    <w:rsid w:val="00A164C2"/>
    <w:rsid w:val="00A17AD6"/>
    <w:rsid w:val="00A20742"/>
    <w:rsid w:val="00A25CAA"/>
    <w:rsid w:val="00A3411B"/>
    <w:rsid w:val="00A37C95"/>
    <w:rsid w:val="00A37F1C"/>
    <w:rsid w:val="00A471DC"/>
    <w:rsid w:val="00A51115"/>
    <w:rsid w:val="00A523E9"/>
    <w:rsid w:val="00A54005"/>
    <w:rsid w:val="00A5489C"/>
    <w:rsid w:val="00A55F9E"/>
    <w:rsid w:val="00A570E8"/>
    <w:rsid w:val="00A57F3B"/>
    <w:rsid w:val="00A619A4"/>
    <w:rsid w:val="00A62BBE"/>
    <w:rsid w:val="00A63834"/>
    <w:rsid w:val="00A65F51"/>
    <w:rsid w:val="00A65F64"/>
    <w:rsid w:val="00A66DA3"/>
    <w:rsid w:val="00A67296"/>
    <w:rsid w:val="00A707A4"/>
    <w:rsid w:val="00A73EB9"/>
    <w:rsid w:val="00A74D4A"/>
    <w:rsid w:val="00A763FE"/>
    <w:rsid w:val="00A80207"/>
    <w:rsid w:val="00A80318"/>
    <w:rsid w:val="00A81125"/>
    <w:rsid w:val="00A82043"/>
    <w:rsid w:val="00A8502A"/>
    <w:rsid w:val="00A91EA5"/>
    <w:rsid w:val="00A94DFA"/>
    <w:rsid w:val="00A953F0"/>
    <w:rsid w:val="00A97115"/>
    <w:rsid w:val="00AA4FCA"/>
    <w:rsid w:val="00AA6DC7"/>
    <w:rsid w:val="00AA6ED3"/>
    <w:rsid w:val="00AB0FA2"/>
    <w:rsid w:val="00AB4522"/>
    <w:rsid w:val="00AB71A5"/>
    <w:rsid w:val="00AC1857"/>
    <w:rsid w:val="00AC5B94"/>
    <w:rsid w:val="00AC7B1B"/>
    <w:rsid w:val="00AC7C76"/>
    <w:rsid w:val="00AD0257"/>
    <w:rsid w:val="00AD4F28"/>
    <w:rsid w:val="00AE28F6"/>
    <w:rsid w:val="00AE6BCA"/>
    <w:rsid w:val="00AF0500"/>
    <w:rsid w:val="00AF0717"/>
    <w:rsid w:val="00AF09F9"/>
    <w:rsid w:val="00AF5718"/>
    <w:rsid w:val="00AF5F06"/>
    <w:rsid w:val="00AF6FAB"/>
    <w:rsid w:val="00AF755E"/>
    <w:rsid w:val="00B02ABD"/>
    <w:rsid w:val="00B07CC9"/>
    <w:rsid w:val="00B114BB"/>
    <w:rsid w:val="00B11D0A"/>
    <w:rsid w:val="00B20DA5"/>
    <w:rsid w:val="00B21CE0"/>
    <w:rsid w:val="00B243D4"/>
    <w:rsid w:val="00B24B01"/>
    <w:rsid w:val="00B24D5E"/>
    <w:rsid w:val="00B3041C"/>
    <w:rsid w:val="00B308F6"/>
    <w:rsid w:val="00B31993"/>
    <w:rsid w:val="00B323E3"/>
    <w:rsid w:val="00B341C7"/>
    <w:rsid w:val="00B457FC"/>
    <w:rsid w:val="00B5146E"/>
    <w:rsid w:val="00B55F2C"/>
    <w:rsid w:val="00B566E9"/>
    <w:rsid w:val="00B570B4"/>
    <w:rsid w:val="00B61092"/>
    <w:rsid w:val="00B61639"/>
    <w:rsid w:val="00B64133"/>
    <w:rsid w:val="00B66BDA"/>
    <w:rsid w:val="00B66EED"/>
    <w:rsid w:val="00B70AC8"/>
    <w:rsid w:val="00B70F28"/>
    <w:rsid w:val="00B7199C"/>
    <w:rsid w:val="00B736BB"/>
    <w:rsid w:val="00B755B0"/>
    <w:rsid w:val="00B80466"/>
    <w:rsid w:val="00B82849"/>
    <w:rsid w:val="00B828F9"/>
    <w:rsid w:val="00B82FCE"/>
    <w:rsid w:val="00B83B50"/>
    <w:rsid w:val="00B85F6B"/>
    <w:rsid w:val="00B945FC"/>
    <w:rsid w:val="00B95BC3"/>
    <w:rsid w:val="00B95DAF"/>
    <w:rsid w:val="00BA728D"/>
    <w:rsid w:val="00BA7779"/>
    <w:rsid w:val="00BB2F8D"/>
    <w:rsid w:val="00BB77A5"/>
    <w:rsid w:val="00BB7D45"/>
    <w:rsid w:val="00BC030B"/>
    <w:rsid w:val="00BC36BC"/>
    <w:rsid w:val="00BC652E"/>
    <w:rsid w:val="00BD0EEF"/>
    <w:rsid w:val="00BD4CF9"/>
    <w:rsid w:val="00BD655E"/>
    <w:rsid w:val="00BD687E"/>
    <w:rsid w:val="00BE0CAB"/>
    <w:rsid w:val="00BE1A13"/>
    <w:rsid w:val="00BE3E85"/>
    <w:rsid w:val="00BF04A4"/>
    <w:rsid w:val="00BF5426"/>
    <w:rsid w:val="00BF7269"/>
    <w:rsid w:val="00BF7E13"/>
    <w:rsid w:val="00C01302"/>
    <w:rsid w:val="00C04DB5"/>
    <w:rsid w:val="00C06EDC"/>
    <w:rsid w:val="00C1228F"/>
    <w:rsid w:val="00C1258C"/>
    <w:rsid w:val="00C15ADE"/>
    <w:rsid w:val="00C20562"/>
    <w:rsid w:val="00C21795"/>
    <w:rsid w:val="00C2286C"/>
    <w:rsid w:val="00C32F33"/>
    <w:rsid w:val="00C33828"/>
    <w:rsid w:val="00C375F7"/>
    <w:rsid w:val="00C37734"/>
    <w:rsid w:val="00C37D4D"/>
    <w:rsid w:val="00C4153E"/>
    <w:rsid w:val="00C41F16"/>
    <w:rsid w:val="00C4262B"/>
    <w:rsid w:val="00C47AE0"/>
    <w:rsid w:val="00C54430"/>
    <w:rsid w:val="00C54ABE"/>
    <w:rsid w:val="00C5755A"/>
    <w:rsid w:val="00C57627"/>
    <w:rsid w:val="00C60F0F"/>
    <w:rsid w:val="00C61D02"/>
    <w:rsid w:val="00C62502"/>
    <w:rsid w:val="00C738A0"/>
    <w:rsid w:val="00C7591B"/>
    <w:rsid w:val="00C777AB"/>
    <w:rsid w:val="00C80ED1"/>
    <w:rsid w:val="00C81084"/>
    <w:rsid w:val="00C81857"/>
    <w:rsid w:val="00C82390"/>
    <w:rsid w:val="00C84409"/>
    <w:rsid w:val="00C84AD1"/>
    <w:rsid w:val="00C85E1B"/>
    <w:rsid w:val="00C9124A"/>
    <w:rsid w:val="00C91445"/>
    <w:rsid w:val="00C92A60"/>
    <w:rsid w:val="00C93725"/>
    <w:rsid w:val="00C95ECD"/>
    <w:rsid w:val="00CA3A0F"/>
    <w:rsid w:val="00CA6A24"/>
    <w:rsid w:val="00CB2101"/>
    <w:rsid w:val="00CB71B4"/>
    <w:rsid w:val="00CC0DC8"/>
    <w:rsid w:val="00CC15C8"/>
    <w:rsid w:val="00CD0FFC"/>
    <w:rsid w:val="00CD1B3E"/>
    <w:rsid w:val="00CD6EDC"/>
    <w:rsid w:val="00CD7A73"/>
    <w:rsid w:val="00CE0298"/>
    <w:rsid w:val="00CF180C"/>
    <w:rsid w:val="00CF2DCB"/>
    <w:rsid w:val="00CF3BD7"/>
    <w:rsid w:val="00D013B0"/>
    <w:rsid w:val="00D026B1"/>
    <w:rsid w:val="00D03032"/>
    <w:rsid w:val="00D04B79"/>
    <w:rsid w:val="00D14371"/>
    <w:rsid w:val="00D167D0"/>
    <w:rsid w:val="00D17140"/>
    <w:rsid w:val="00D17383"/>
    <w:rsid w:val="00D17D86"/>
    <w:rsid w:val="00D20AF6"/>
    <w:rsid w:val="00D213E7"/>
    <w:rsid w:val="00D22647"/>
    <w:rsid w:val="00D251D3"/>
    <w:rsid w:val="00D30E23"/>
    <w:rsid w:val="00D5736E"/>
    <w:rsid w:val="00D615D0"/>
    <w:rsid w:val="00D61E12"/>
    <w:rsid w:val="00D62C4D"/>
    <w:rsid w:val="00D63BF3"/>
    <w:rsid w:val="00D65A7A"/>
    <w:rsid w:val="00D72250"/>
    <w:rsid w:val="00D72E3B"/>
    <w:rsid w:val="00D75CB8"/>
    <w:rsid w:val="00D871CB"/>
    <w:rsid w:val="00D87CC3"/>
    <w:rsid w:val="00D90245"/>
    <w:rsid w:val="00D906E4"/>
    <w:rsid w:val="00D9312F"/>
    <w:rsid w:val="00D9674E"/>
    <w:rsid w:val="00DA1508"/>
    <w:rsid w:val="00DA1CBB"/>
    <w:rsid w:val="00DA3D71"/>
    <w:rsid w:val="00DA6AF4"/>
    <w:rsid w:val="00DA6FA3"/>
    <w:rsid w:val="00DA7824"/>
    <w:rsid w:val="00DB52C7"/>
    <w:rsid w:val="00DB7F8E"/>
    <w:rsid w:val="00DC15C1"/>
    <w:rsid w:val="00DC5173"/>
    <w:rsid w:val="00DC75C9"/>
    <w:rsid w:val="00DD2C6B"/>
    <w:rsid w:val="00DD60D3"/>
    <w:rsid w:val="00DD720F"/>
    <w:rsid w:val="00DD79CA"/>
    <w:rsid w:val="00DE0246"/>
    <w:rsid w:val="00DE2700"/>
    <w:rsid w:val="00DE7892"/>
    <w:rsid w:val="00DF0B23"/>
    <w:rsid w:val="00DF28B0"/>
    <w:rsid w:val="00DF43A5"/>
    <w:rsid w:val="00DF514B"/>
    <w:rsid w:val="00DF64C3"/>
    <w:rsid w:val="00E03656"/>
    <w:rsid w:val="00E037C9"/>
    <w:rsid w:val="00E04B40"/>
    <w:rsid w:val="00E06394"/>
    <w:rsid w:val="00E06FFA"/>
    <w:rsid w:val="00E10B54"/>
    <w:rsid w:val="00E14748"/>
    <w:rsid w:val="00E15319"/>
    <w:rsid w:val="00E207A2"/>
    <w:rsid w:val="00E22D5D"/>
    <w:rsid w:val="00E236ED"/>
    <w:rsid w:val="00E240B4"/>
    <w:rsid w:val="00E254CF"/>
    <w:rsid w:val="00E36B96"/>
    <w:rsid w:val="00E37064"/>
    <w:rsid w:val="00E401DB"/>
    <w:rsid w:val="00E42836"/>
    <w:rsid w:val="00E42F4D"/>
    <w:rsid w:val="00E439E4"/>
    <w:rsid w:val="00E457BB"/>
    <w:rsid w:val="00E50AF6"/>
    <w:rsid w:val="00E6069C"/>
    <w:rsid w:val="00E63AD4"/>
    <w:rsid w:val="00E6404D"/>
    <w:rsid w:val="00E67FD8"/>
    <w:rsid w:val="00E7255D"/>
    <w:rsid w:val="00E72905"/>
    <w:rsid w:val="00E7474C"/>
    <w:rsid w:val="00E80E5C"/>
    <w:rsid w:val="00E81F60"/>
    <w:rsid w:val="00E854EC"/>
    <w:rsid w:val="00E90CA0"/>
    <w:rsid w:val="00E92784"/>
    <w:rsid w:val="00E96589"/>
    <w:rsid w:val="00E96AFC"/>
    <w:rsid w:val="00E9718E"/>
    <w:rsid w:val="00EA21D8"/>
    <w:rsid w:val="00EA3477"/>
    <w:rsid w:val="00EA50EE"/>
    <w:rsid w:val="00EA6276"/>
    <w:rsid w:val="00EB4A20"/>
    <w:rsid w:val="00EB505E"/>
    <w:rsid w:val="00EC13CE"/>
    <w:rsid w:val="00EC1475"/>
    <w:rsid w:val="00EC3665"/>
    <w:rsid w:val="00EC66F6"/>
    <w:rsid w:val="00ED0AEA"/>
    <w:rsid w:val="00ED12FF"/>
    <w:rsid w:val="00ED3BD1"/>
    <w:rsid w:val="00ED559B"/>
    <w:rsid w:val="00EE4856"/>
    <w:rsid w:val="00EE588C"/>
    <w:rsid w:val="00EE5ED0"/>
    <w:rsid w:val="00EE6617"/>
    <w:rsid w:val="00EF08A9"/>
    <w:rsid w:val="00EF33D9"/>
    <w:rsid w:val="00EF4E9F"/>
    <w:rsid w:val="00EF54EE"/>
    <w:rsid w:val="00EF604F"/>
    <w:rsid w:val="00F01B14"/>
    <w:rsid w:val="00F024B1"/>
    <w:rsid w:val="00F024D8"/>
    <w:rsid w:val="00F1095E"/>
    <w:rsid w:val="00F13EF5"/>
    <w:rsid w:val="00F172C1"/>
    <w:rsid w:val="00F17B87"/>
    <w:rsid w:val="00F356C6"/>
    <w:rsid w:val="00F356E0"/>
    <w:rsid w:val="00F37B31"/>
    <w:rsid w:val="00F414FF"/>
    <w:rsid w:val="00F428A6"/>
    <w:rsid w:val="00F44335"/>
    <w:rsid w:val="00F460E3"/>
    <w:rsid w:val="00F52669"/>
    <w:rsid w:val="00F53A89"/>
    <w:rsid w:val="00F554BF"/>
    <w:rsid w:val="00F56C99"/>
    <w:rsid w:val="00F5744F"/>
    <w:rsid w:val="00F61DB5"/>
    <w:rsid w:val="00F641A3"/>
    <w:rsid w:val="00F71AC2"/>
    <w:rsid w:val="00F758AC"/>
    <w:rsid w:val="00F81430"/>
    <w:rsid w:val="00F82785"/>
    <w:rsid w:val="00F85BDC"/>
    <w:rsid w:val="00F86FD0"/>
    <w:rsid w:val="00F96110"/>
    <w:rsid w:val="00FA2429"/>
    <w:rsid w:val="00FA45B4"/>
    <w:rsid w:val="00FA554F"/>
    <w:rsid w:val="00FA6C39"/>
    <w:rsid w:val="00FB24A6"/>
    <w:rsid w:val="00FB25B7"/>
    <w:rsid w:val="00FB25E8"/>
    <w:rsid w:val="00FB342B"/>
    <w:rsid w:val="00FB3513"/>
    <w:rsid w:val="00FB4E10"/>
    <w:rsid w:val="00FC5FCB"/>
    <w:rsid w:val="00FD139B"/>
    <w:rsid w:val="00FD1795"/>
    <w:rsid w:val="00FD3826"/>
    <w:rsid w:val="00FD6366"/>
    <w:rsid w:val="00FE08ED"/>
    <w:rsid w:val="00FE3DE2"/>
    <w:rsid w:val="00FE439E"/>
    <w:rsid w:val="00FE5262"/>
    <w:rsid w:val="00FF191A"/>
    <w:rsid w:val="00FF3FBF"/>
    <w:rsid w:val="00FF62DF"/>
    <w:rsid w:val="00FF6E27"/>
    <w:rsid w:val="00FF752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29CAA8"/>
  <w15:docId w15:val="{67D1E08D-AE24-4F51-8067-C270D660E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ES"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C965F1"/>
    <w:pPr>
      <w:ind w:left="720"/>
      <w:contextualSpacing/>
    </w:pPr>
  </w:style>
  <w:style w:type="table" w:styleId="Tablaconcuadrcula">
    <w:name w:val="Table Grid"/>
    <w:basedOn w:val="Tablanormal"/>
    <w:uiPriority w:val="39"/>
    <w:rsid w:val="00C96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6854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85413"/>
  </w:style>
  <w:style w:type="paragraph" w:styleId="Piedepgina">
    <w:name w:val="footer"/>
    <w:basedOn w:val="Normal"/>
    <w:link w:val="PiedepginaCar"/>
    <w:uiPriority w:val="99"/>
    <w:unhideWhenUsed/>
    <w:rsid w:val="006854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5413"/>
  </w:style>
  <w:style w:type="character" w:styleId="Refdecomentario">
    <w:name w:val="annotation reference"/>
    <w:basedOn w:val="Fuentedeprrafopredeter"/>
    <w:uiPriority w:val="99"/>
    <w:semiHidden/>
    <w:unhideWhenUsed/>
    <w:rsid w:val="00A37F1C"/>
    <w:rPr>
      <w:sz w:val="16"/>
      <w:szCs w:val="16"/>
    </w:rPr>
  </w:style>
  <w:style w:type="paragraph" w:styleId="Textocomentario">
    <w:name w:val="annotation text"/>
    <w:basedOn w:val="Normal"/>
    <w:link w:val="TextocomentarioCar"/>
    <w:uiPriority w:val="99"/>
    <w:semiHidden/>
    <w:unhideWhenUsed/>
    <w:rsid w:val="00A37F1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7F1C"/>
    <w:rPr>
      <w:sz w:val="20"/>
      <w:szCs w:val="20"/>
    </w:rPr>
  </w:style>
  <w:style w:type="paragraph" w:styleId="Asuntodelcomentario">
    <w:name w:val="annotation subject"/>
    <w:basedOn w:val="Textocomentario"/>
    <w:next w:val="Textocomentario"/>
    <w:link w:val="AsuntodelcomentarioCar"/>
    <w:uiPriority w:val="99"/>
    <w:semiHidden/>
    <w:unhideWhenUsed/>
    <w:rsid w:val="00A37F1C"/>
    <w:rPr>
      <w:b/>
      <w:bCs/>
    </w:rPr>
  </w:style>
  <w:style w:type="character" w:customStyle="1" w:styleId="AsuntodelcomentarioCar">
    <w:name w:val="Asunto del comentario Car"/>
    <w:basedOn w:val="TextocomentarioCar"/>
    <w:link w:val="Asuntodelcomentario"/>
    <w:uiPriority w:val="99"/>
    <w:semiHidden/>
    <w:rsid w:val="00A37F1C"/>
    <w:rPr>
      <w:b/>
      <w:bCs/>
      <w:sz w:val="20"/>
      <w:szCs w:val="20"/>
    </w:rPr>
  </w:style>
  <w:style w:type="paragraph" w:styleId="Textodeglobo">
    <w:name w:val="Balloon Text"/>
    <w:basedOn w:val="Normal"/>
    <w:link w:val="TextodegloboCar"/>
    <w:uiPriority w:val="99"/>
    <w:semiHidden/>
    <w:unhideWhenUsed/>
    <w:rsid w:val="00A37F1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7F1C"/>
    <w:rPr>
      <w:rFonts w:ascii="Segoe UI" w:hAnsi="Segoe UI" w:cs="Segoe UI"/>
      <w:sz w:val="18"/>
      <w:szCs w:val="18"/>
    </w:rPr>
  </w:style>
  <w:style w:type="paragraph" w:styleId="Revisin">
    <w:name w:val="Revision"/>
    <w:hidden/>
    <w:uiPriority w:val="99"/>
    <w:semiHidden/>
    <w:rsid w:val="00207B39"/>
    <w:pPr>
      <w:spacing w:after="0" w:line="240" w:lineRule="auto"/>
    </w:pPr>
  </w:style>
  <w:style w:type="character" w:styleId="Nmerodepgina">
    <w:name w:val="page number"/>
    <w:basedOn w:val="Fuentedeprrafopredeter"/>
    <w:uiPriority w:val="99"/>
    <w:semiHidden/>
    <w:unhideWhenUsed/>
    <w:rsid w:val="00207B39"/>
  </w:style>
  <w:style w:type="table" w:customStyle="1" w:styleId="Tablaconcuadrcula1">
    <w:name w:val="Tabla con cuadrícula1"/>
    <w:basedOn w:val="Tablanormal"/>
    <w:next w:val="Tablaconcuadrcula"/>
    <w:uiPriority w:val="39"/>
    <w:rsid w:val="002B0BCD"/>
    <w:pPr>
      <w:spacing w:after="0" w:line="240" w:lineRule="auto"/>
    </w:pPr>
    <w:rPr>
      <w:rFonts w:ascii="Times New Roman" w:eastAsiaTheme="minorHAnsi" w:hAnsi="Times New Roman" w:cs="Courier New"/>
      <w:color w:val="000000"/>
      <w:kern w:val="2"/>
      <w:sz w:val="20"/>
      <w:szCs w:val="24"/>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05B82"/>
    <w:rPr>
      <w:color w:val="0563C1" w:themeColor="hyperlink"/>
      <w:u w:val="single"/>
    </w:rPr>
  </w:style>
  <w:style w:type="character" w:customStyle="1" w:styleId="Mencinsinresolver1">
    <w:name w:val="Mención sin resolver1"/>
    <w:basedOn w:val="Fuentedeprrafopredeter"/>
    <w:uiPriority w:val="99"/>
    <w:semiHidden/>
    <w:unhideWhenUsed/>
    <w:rsid w:val="00005B82"/>
    <w:rPr>
      <w:color w:val="605E5C"/>
      <w:shd w:val="clear" w:color="auto" w:fill="E1DFDD"/>
    </w:rPr>
  </w:style>
  <w:style w:type="paragraph" w:customStyle="1" w:styleId="whitespace-normal">
    <w:name w:val="whitespace-normal"/>
    <w:basedOn w:val="Normal"/>
    <w:rsid w:val="000F74A4"/>
    <w:pPr>
      <w:spacing w:before="100" w:beforeAutospacing="1" w:after="100" w:afterAutospacing="1" w:line="240" w:lineRule="auto"/>
    </w:pPr>
    <w:rPr>
      <w:rFonts w:ascii="Times New Roman" w:eastAsia="Times New Roman" w:hAnsi="Times New Roman" w:cs="Times New Roman"/>
      <w:sz w:val="24"/>
      <w:szCs w:val="24"/>
      <w:lang w:val="es-CL"/>
    </w:rPr>
  </w:style>
  <w:style w:type="paragraph" w:customStyle="1" w:styleId="font-claude-response-body">
    <w:name w:val="font-claude-response-body"/>
    <w:basedOn w:val="Normal"/>
    <w:rsid w:val="00B31993"/>
    <w:pPr>
      <w:spacing w:before="100" w:beforeAutospacing="1" w:after="100" w:afterAutospacing="1" w:line="240" w:lineRule="auto"/>
    </w:pPr>
    <w:rPr>
      <w:rFonts w:ascii="Times New Roman" w:eastAsia="Times New Roman" w:hAnsi="Times New Roman" w:cs="Times New Roman"/>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1259103">
      <w:bodyDiv w:val="1"/>
      <w:marLeft w:val="0"/>
      <w:marRight w:val="0"/>
      <w:marTop w:val="0"/>
      <w:marBottom w:val="0"/>
      <w:divBdr>
        <w:top w:val="none" w:sz="0" w:space="0" w:color="auto"/>
        <w:left w:val="none" w:sz="0" w:space="0" w:color="auto"/>
        <w:bottom w:val="none" w:sz="0" w:space="0" w:color="auto"/>
        <w:right w:val="none" w:sz="0" w:space="0" w:color="auto"/>
      </w:divBdr>
    </w:div>
    <w:div w:id="513767912">
      <w:bodyDiv w:val="1"/>
      <w:marLeft w:val="0"/>
      <w:marRight w:val="0"/>
      <w:marTop w:val="0"/>
      <w:marBottom w:val="0"/>
      <w:divBdr>
        <w:top w:val="none" w:sz="0" w:space="0" w:color="auto"/>
        <w:left w:val="none" w:sz="0" w:space="0" w:color="auto"/>
        <w:bottom w:val="none" w:sz="0" w:space="0" w:color="auto"/>
        <w:right w:val="none" w:sz="0" w:space="0" w:color="auto"/>
      </w:divBdr>
    </w:div>
    <w:div w:id="839733601">
      <w:bodyDiv w:val="1"/>
      <w:marLeft w:val="0"/>
      <w:marRight w:val="0"/>
      <w:marTop w:val="0"/>
      <w:marBottom w:val="0"/>
      <w:divBdr>
        <w:top w:val="none" w:sz="0" w:space="0" w:color="auto"/>
        <w:left w:val="none" w:sz="0" w:space="0" w:color="auto"/>
        <w:bottom w:val="none" w:sz="0" w:space="0" w:color="auto"/>
        <w:right w:val="none" w:sz="0" w:space="0" w:color="auto"/>
      </w:divBdr>
    </w:div>
    <w:div w:id="1359429406">
      <w:bodyDiv w:val="1"/>
      <w:marLeft w:val="0"/>
      <w:marRight w:val="0"/>
      <w:marTop w:val="0"/>
      <w:marBottom w:val="0"/>
      <w:divBdr>
        <w:top w:val="none" w:sz="0" w:space="0" w:color="auto"/>
        <w:left w:val="none" w:sz="0" w:space="0" w:color="auto"/>
        <w:bottom w:val="none" w:sz="0" w:space="0" w:color="auto"/>
        <w:right w:val="none" w:sz="0" w:space="0" w:color="auto"/>
      </w:divBdr>
    </w:div>
    <w:div w:id="1879395074">
      <w:bodyDiv w:val="1"/>
      <w:marLeft w:val="0"/>
      <w:marRight w:val="0"/>
      <w:marTop w:val="0"/>
      <w:marBottom w:val="0"/>
      <w:divBdr>
        <w:top w:val="none" w:sz="0" w:space="0" w:color="auto"/>
        <w:left w:val="none" w:sz="0" w:space="0" w:color="auto"/>
        <w:bottom w:val="none" w:sz="0" w:space="0" w:color="auto"/>
        <w:right w:val="none" w:sz="0" w:space="0" w:color="auto"/>
      </w:divBdr>
    </w:div>
    <w:div w:id="2051490507">
      <w:bodyDiv w:val="1"/>
      <w:marLeft w:val="0"/>
      <w:marRight w:val="0"/>
      <w:marTop w:val="0"/>
      <w:marBottom w:val="0"/>
      <w:divBdr>
        <w:top w:val="none" w:sz="0" w:space="0" w:color="auto"/>
        <w:left w:val="none" w:sz="0" w:space="0" w:color="auto"/>
        <w:bottom w:val="none" w:sz="0" w:space="0" w:color="auto"/>
        <w:right w:val="none" w:sz="0" w:space="0" w:color="auto"/>
      </w:divBdr>
    </w:div>
    <w:div w:id="20710306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0+na2EzKJGTXtyBiP4O1QIuvwQ==">CgMxLjA4AHIhMVltSXRFbzFJV1VMdWoyZTdkNmJfUEpkVzVYa2Vsd1Q4</go:docsCustomData>
</go:gDocsCustomXmlDataStorage>
</file>

<file path=customXml/itemProps1.xml><?xml version="1.0" encoding="utf-8"?>
<ds:datastoreItem xmlns:ds="http://schemas.openxmlformats.org/officeDocument/2006/customXml" ds:itemID="{DD123EC0-C1D7-47C7-98A7-940E000B139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716</Words>
  <Characters>3941</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Moira Gutierrez Valdes</dc:creator>
  <cp:lastModifiedBy>María José Lobo Vega</cp:lastModifiedBy>
  <cp:revision>2</cp:revision>
  <dcterms:created xsi:type="dcterms:W3CDTF">2026-04-30T18:19:00Z</dcterms:created>
  <dcterms:modified xsi:type="dcterms:W3CDTF">2026-04-30T18:19:00Z</dcterms:modified>
</cp:coreProperties>
</file>