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6A8C4" w14:textId="77777777" w:rsidR="00B95140" w:rsidRPr="00B95140" w:rsidRDefault="00B95140" w:rsidP="00B95140">
      <w:pPr>
        <w:spacing w:line="360" w:lineRule="auto"/>
        <w:jc w:val="center"/>
        <w:rPr>
          <w:rFonts w:ascii="Arial" w:hAnsi="Arial" w:cs="Arial"/>
          <w:b/>
          <w:bCs/>
          <w:sz w:val="24"/>
          <w:szCs w:val="24"/>
          <w:lang w:val="es-MX"/>
        </w:rPr>
      </w:pPr>
      <w:r w:rsidRPr="00B95140">
        <w:rPr>
          <w:rFonts w:ascii="Arial" w:hAnsi="Arial" w:cs="Arial"/>
          <w:b/>
          <w:bCs/>
          <w:sz w:val="24"/>
          <w:szCs w:val="24"/>
          <w:lang w:val="es-MX"/>
        </w:rPr>
        <w:t>Observatorio Jurisprudencial</w:t>
      </w:r>
    </w:p>
    <w:p w14:paraId="0A0DBE25" w14:textId="5AD64F60" w:rsidR="00C80362" w:rsidRPr="00B95140" w:rsidRDefault="00C80362" w:rsidP="00B95140">
      <w:pPr>
        <w:spacing w:line="360" w:lineRule="auto"/>
        <w:jc w:val="center"/>
        <w:rPr>
          <w:rFonts w:ascii="Arial" w:hAnsi="Arial" w:cs="Arial"/>
          <w:b/>
          <w:bCs/>
          <w:sz w:val="24"/>
          <w:szCs w:val="24"/>
          <w:lang w:val="es-MX"/>
        </w:rPr>
      </w:pPr>
      <w:r w:rsidRPr="00B95140">
        <w:rPr>
          <w:rFonts w:ascii="Arial" w:hAnsi="Arial" w:cs="Arial"/>
          <w:sz w:val="24"/>
          <w:szCs w:val="24"/>
          <w:lang w:val="es-MX"/>
        </w:rPr>
        <w:t>Programa Persona, Familia</w:t>
      </w:r>
      <w:r w:rsidR="00A17EF0">
        <w:rPr>
          <w:rFonts w:ascii="Arial" w:hAnsi="Arial" w:cs="Arial"/>
          <w:sz w:val="24"/>
          <w:szCs w:val="24"/>
          <w:lang w:val="es-MX"/>
        </w:rPr>
        <w:t>s</w:t>
      </w:r>
      <w:r w:rsidRPr="00B95140">
        <w:rPr>
          <w:rFonts w:ascii="Arial" w:hAnsi="Arial" w:cs="Arial"/>
          <w:sz w:val="24"/>
          <w:szCs w:val="24"/>
          <w:lang w:val="es-MX"/>
        </w:rPr>
        <w:t xml:space="preserve"> y Derecho</w:t>
      </w:r>
    </w:p>
    <w:tbl>
      <w:tblPr>
        <w:tblStyle w:val="Tablaconcuadrcula"/>
        <w:tblW w:w="0" w:type="auto"/>
        <w:tblLook w:val="04A0" w:firstRow="1" w:lastRow="0" w:firstColumn="1" w:lastColumn="0" w:noHBand="0" w:noVBand="1"/>
      </w:tblPr>
      <w:tblGrid>
        <w:gridCol w:w="2689"/>
        <w:gridCol w:w="6139"/>
      </w:tblGrid>
      <w:tr w:rsidR="00C727FE" w:rsidRPr="00B95140" w14:paraId="16E7E8B4" w14:textId="77777777" w:rsidTr="00C727FE">
        <w:tc>
          <w:tcPr>
            <w:tcW w:w="2689" w:type="dxa"/>
          </w:tcPr>
          <w:p w14:paraId="1201EA49" w14:textId="4C27E88E" w:rsidR="00C727FE" w:rsidRPr="00B95140" w:rsidRDefault="00C727FE">
            <w:pPr>
              <w:rPr>
                <w:rFonts w:ascii="Arial" w:hAnsi="Arial" w:cs="Arial"/>
                <w:b/>
                <w:bCs/>
                <w:sz w:val="24"/>
                <w:szCs w:val="24"/>
                <w:lang w:val="es-MX"/>
              </w:rPr>
            </w:pPr>
            <w:r w:rsidRPr="00B95140">
              <w:rPr>
                <w:rFonts w:ascii="Arial" w:hAnsi="Arial" w:cs="Arial"/>
                <w:b/>
                <w:bCs/>
                <w:sz w:val="24"/>
                <w:szCs w:val="24"/>
                <w:lang w:val="es-MX"/>
              </w:rPr>
              <w:t>Tribunal</w:t>
            </w:r>
          </w:p>
        </w:tc>
        <w:tc>
          <w:tcPr>
            <w:tcW w:w="6139" w:type="dxa"/>
          </w:tcPr>
          <w:p w14:paraId="6E859D14" w14:textId="6A8E0B59" w:rsidR="00C727FE" w:rsidRPr="00B95140" w:rsidRDefault="00C727FE">
            <w:pPr>
              <w:rPr>
                <w:rFonts w:ascii="Arial" w:hAnsi="Arial" w:cs="Arial"/>
                <w:sz w:val="24"/>
                <w:szCs w:val="24"/>
                <w:lang w:val="es-MX"/>
              </w:rPr>
            </w:pPr>
            <w:r w:rsidRPr="00B95140">
              <w:rPr>
                <w:rFonts w:ascii="Arial" w:hAnsi="Arial" w:cs="Arial"/>
                <w:sz w:val="24"/>
                <w:szCs w:val="24"/>
                <w:lang w:val="es-MX"/>
              </w:rPr>
              <w:t>Corte de Apelaciones de Talca</w:t>
            </w:r>
          </w:p>
        </w:tc>
      </w:tr>
      <w:tr w:rsidR="00C727FE" w:rsidRPr="00B95140" w14:paraId="221CB9DD" w14:textId="77777777" w:rsidTr="00C727FE">
        <w:tc>
          <w:tcPr>
            <w:tcW w:w="2689" w:type="dxa"/>
          </w:tcPr>
          <w:p w14:paraId="59D6EC2C" w14:textId="5E3CD779" w:rsidR="00C727FE" w:rsidRPr="00B95140" w:rsidRDefault="00C727FE">
            <w:pPr>
              <w:rPr>
                <w:rFonts w:ascii="Arial" w:hAnsi="Arial" w:cs="Arial"/>
                <w:b/>
                <w:bCs/>
                <w:sz w:val="24"/>
                <w:szCs w:val="24"/>
                <w:lang w:val="es-MX"/>
              </w:rPr>
            </w:pPr>
            <w:r w:rsidRPr="00B95140">
              <w:rPr>
                <w:rFonts w:ascii="Arial" w:hAnsi="Arial" w:cs="Arial"/>
                <w:b/>
                <w:bCs/>
                <w:sz w:val="24"/>
                <w:szCs w:val="24"/>
                <w:lang w:val="es-MX"/>
              </w:rPr>
              <w:t>Libro</w:t>
            </w:r>
          </w:p>
        </w:tc>
        <w:tc>
          <w:tcPr>
            <w:tcW w:w="6139" w:type="dxa"/>
          </w:tcPr>
          <w:p w14:paraId="252F4953" w14:textId="553496DB" w:rsidR="00C727FE" w:rsidRPr="00B95140" w:rsidRDefault="00C727FE">
            <w:pPr>
              <w:rPr>
                <w:rFonts w:ascii="Arial" w:hAnsi="Arial" w:cs="Arial"/>
                <w:sz w:val="24"/>
                <w:szCs w:val="24"/>
                <w:lang w:val="es-MX"/>
              </w:rPr>
            </w:pPr>
            <w:r w:rsidRPr="00B95140">
              <w:rPr>
                <w:rFonts w:ascii="Arial" w:hAnsi="Arial" w:cs="Arial"/>
                <w:sz w:val="24"/>
                <w:szCs w:val="24"/>
                <w:lang w:val="es-MX"/>
              </w:rPr>
              <w:t>Protección-1187-2023</w:t>
            </w:r>
          </w:p>
        </w:tc>
      </w:tr>
      <w:tr w:rsidR="00C727FE" w:rsidRPr="00B95140" w14:paraId="63BD5D61" w14:textId="77777777" w:rsidTr="00C727FE">
        <w:tc>
          <w:tcPr>
            <w:tcW w:w="2689" w:type="dxa"/>
          </w:tcPr>
          <w:p w14:paraId="43131C6A" w14:textId="5DEC2138" w:rsidR="00C727FE" w:rsidRPr="00B95140" w:rsidRDefault="00C727FE">
            <w:pPr>
              <w:rPr>
                <w:rFonts w:ascii="Arial" w:hAnsi="Arial" w:cs="Arial"/>
                <w:b/>
                <w:bCs/>
                <w:sz w:val="24"/>
                <w:szCs w:val="24"/>
                <w:lang w:val="es-MX"/>
              </w:rPr>
            </w:pPr>
            <w:r w:rsidRPr="00B95140">
              <w:rPr>
                <w:rFonts w:ascii="Arial" w:hAnsi="Arial" w:cs="Arial"/>
                <w:b/>
                <w:bCs/>
                <w:sz w:val="24"/>
                <w:szCs w:val="24"/>
                <w:lang w:val="es-MX"/>
              </w:rPr>
              <w:t xml:space="preserve">Fecha de ingreso </w:t>
            </w:r>
          </w:p>
        </w:tc>
        <w:tc>
          <w:tcPr>
            <w:tcW w:w="6139" w:type="dxa"/>
          </w:tcPr>
          <w:p w14:paraId="4F35F323" w14:textId="49FCC32B" w:rsidR="00C727FE" w:rsidRPr="00B95140" w:rsidRDefault="00C727FE">
            <w:pPr>
              <w:rPr>
                <w:rFonts w:ascii="Arial" w:hAnsi="Arial" w:cs="Arial"/>
                <w:sz w:val="24"/>
                <w:szCs w:val="24"/>
                <w:lang w:val="es-MX"/>
              </w:rPr>
            </w:pPr>
            <w:r w:rsidRPr="00B95140">
              <w:rPr>
                <w:rFonts w:ascii="Arial" w:hAnsi="Arial" w:cs="Arial"/>
                <w:sz w:val="24"/>
                <w:szCs w:val="24"/>
                <w:lang w:val="es-MX"/>
              </w:rPr>
              <w:t>21 de Noviembre de 2023</w:t>
            </w:r>
          </w:p>
        </w:tc>
      </w:tr>
      <w:tr w:rsidR="00C727FE" w:rsidRPr="00B95140" w14:paraId="45EBF37E" w14:textId="77777777" w:rsidTr="00C727FE">
        <w:tc>
          <w:tcPr>
            <w:tcW w:w="2689" w:type="dxa"/>
          </w:tcPr>
          <w:p w14:paraId="72B44001" w14:textId="4572959C" w:rsidR="00C727FE" w:rsidRPr="00B95140" w:rsidRDefault="00C727FE" w:rsidP="00C727FE">
            <w:pPr>
              <w:rPr>
                <w:rFonts w:ascii="Arial" w:hAnsi="Arial" w:cs="Arial"/>
                <w:b/>
                <w:bCs/>
                <w:sz w:val="24"/>
                <w:szCs w:val="24"/>
                <w:lang w:val="es-MX"/>
              </w:rPr>
            </w:pPr>
            <w:r w:rsidRPr="00B95140">
              <w:rPr>
                <w:rFonts w:ascii="Arial" w:hAnsi="Arial" w:cs="Arial"/>
                <w:b/>
                <w:bCs/>
                <w:sz w:val="24"/>
                <w:szCs w:val="24"/>
                <w:lang w:val="es-MX"/>
              </w:rPr>
              <w:t>Recurso</w:t>
            </w:r>
          </w:p>
        </w:tc>
        <w:tc>
          <w:tcPr>
            <w:tcW w:w="6139" w:type="dxa"/>
          </w:tcPr>
          <w:p w14:paraId="08086A8A" w14:textId="10584217" w:rsidR="00C727FE" w:rsidRPr="00B95140" w:rsidRDefault="00C727FE" w:rsidP="00C727FE">
            <w:pPr>
              <w:rPr>
                <w:rFonts w:ascii="Arial" w:hAnsi="Arial" w:cs="Arial"/>
                <w:sz w:val="24"/>
                <w:szCs w:val="24"/>
                <w:lang w:val="es-MX"/>
              </w:rPr>
            </w:pPr>
            <w:r w:rsidRPr="00B95140">
              <w:rPr>
                <w:rFonts w:ascii="Arial" w:hAnsi="Arial" w:cs="Arial"/>
                <w:sz w:val="24"/>
                <w:szCs w:val="24"/>
                <w:lang w:val="es-MX"/>
              </w:rPr>
              <w:t>Protección – Migración</w:t>
            </w:r>
          </w:p>
        </w:tc>
      </w:tr>
      <w:tr w:rsidR="00C727FE" w:rsidRPr="00B95140" w14:paraId="2260F8A3" w14:textId="77777777" w:rsidTr="00C727FE">
        <w:tc>
          <w:tcPr>
            <w:tcW w:w="2689" w:type="dxa"/>
          </w:tcPr>
          <w:p w14:paraId="07E90DEE" w14:textId="57E26CD2" w:rsidR="00C727FE" w:rsidRPr="00B95140" w:rsidRDefault="00C727FE" w:rsidP="00C727FE">
            <w:pPr>
              <w:rPr>
                <w:rFonts w:ascii="Arial" w:hAnsi="Arial" w:cs="Arial"/>
                <w:b/>
                <w:bCs/>
                <w:sz w:val="24"/>
                <w:szCs w:val="24"/>
                <w:lang w:val="es-MX"/>
              </w:rPr>
            </w:pPr>
            <w:r w:rsidRPr="00B95140">
              <w:rPr>
                <w:rFonts w:ascii="Arial" w:hAnsi="Arial" w:cs="Arial"/>
                <w:b/>
                <w:bCs/>
                <w:sz w:val="24"/>
                <w:szCs w:val="24"/>
                <w:lang w:val="es-MX"/>
              </w:rPr>
              <w:t>Estado del recurso</w:t>
            </w:r>
          </w:p>
        </w:tc>
        <w:tc>
          <w:tcPr>
            <w:tcW w:w="6139" w:type="dxa"/>
          </w:tcPr>
          <w:p w14:paraId="12C81F2F" w14:textId="34CFCCA2" w:rsidR="00C727FE" w:rsidRPr="00B95140" w:rsidRDefault="00C727FE" w:rsidP="00C727FE">
            <w:pPr>
              <w:rPr>
                <w:rFonts w:ascii="Arial" w:hAnsi="Arial" w:cs="Arial"/>
                <w:sz w:val="24"/>
                <w:szCs w:val="24"/>
                <w:lang w:val="es-MX"/>
              </w:rPr>
            </w:pPr>
            <w:r w:rsidRPr="00B95140">
              <w:rPr>
                <w:rFonts w:ascii="Arial" w:hAnsi="Arial" w:cs="Arial"/>
                <w:sz w:val="24"/>
                <w:szCs w:val="24"/>
                <w:lang w:val="es-MX"/>
              </w:rPr>
              <w:t xml:space="preserve">Vigente </w:t>
            </w:r>
          </w:p>
        </w:tc>
      </w:tr>
      <w:tr w:rsidR="00C727FE" w:rsidRPr="00B95140" w14:paraId="26062360" w14:textId="77777777" w:rsidTr="00C727FE">
        <w:tc>
          <w:tcPr>
            <w:tcW w:w="2689" w:type="dxa"/>
          </w:tcPr>
          <w:p w14:paraId="7D2F3F48" w14:textId="24758FDA" w:rsidR="00C727FE" w:rsidRPr="00B95140" w:rsidRDefault="00C727FE" w:rsidP="00C727FE">
            <w:pPr>
              <w:rPr>
                <w:rFonts w:ascii="Arial" w:hAnsi="Arial" w:cs="Arial"/>
                <w:b/>
                <w:bCs/>
                <w:sz w:val="24"/>
                <w:szCs w:val="24"/>
                <w:lang w:val="es-MX"/>
              </w:rPr>
            </w:pPr>
            <w:r w:rsidRPr="00B95140">
              <w:rPr>
                <w:rFonts w:ascii="Arial" w:hAnsi="Arial" w:cs="Arial"/>
                <w:b/>
                <w:bCs/>
                <w:sz w:val="24"/>
                <w:szCs w:val="24"/>
                <w:lang w:val="es-MX"/>
              </w:rPr>
              <w:t xml:space="preserve">Estado procesal </w:t>
            </w:r>
          </w:p>
        </w:tc>
        <w:tc>
          <w:tcPr>
            <w:tcW w:w="6139" w:type="dxa"/>
          </w:tcPr>
          <w:p w14:paraId="189BA498" w14:textId="63261C42" w:rsidR="00C727FE" w:rsidRPr="00B95140" w:rsidRDefault="00C727FE" w:rsidP="00C727FE">
            <w:pPr>
              <w:rPr>
                <w:rFonts w:ascii="Arial" w:hAnsi="Arial" w:cs="Arial"/>
                <w:sz w:val="24"/>
                <w:szCs w:val="24"/>
                <w:lang w:val="es-MX"/>
              </w:rPr>
            </w:pPr>
            <w:r w:rsidRPr="00B95140">
              <w:rPr>
                <w:rFonts w:ascii="Arial" w:hAnsi="Arial" w:cs="Arial"/>
                <w:sz w:val="24"/>
                <w:szCs w:val="24"/>
                <w:lang w:val="es-MX"/>
              </w:rPr>
              <w:t>Fallada - Terminada</w:t>
            </w:r>
          </w:p>
        </w:tc>
      </w:tr>
      <w:tr w:rsidR="00C727FE" w:rsidRPr="00B95140" w14:paraId="52C30D0A" w14:textId="77777777" w:rsidTr="00C727FE">
        <w:tc>
          <w:tcPr>
            <w:tcW w:w="2689" w:type="dxa"/>
          </w:tcPr>
          <w:p w14:paraId="5487F0A4" w14:textId="7FEB7AF5" w:rsidR="00C727FE" w:rsidRPr="00B95140" w:rsidRDefault="00C727FE" w:rsidP="00C727FE">
            <w:pPr>
              <w:rPr>
                <w:rFonts w:ascii="Arial" w:hAnsi="Arial" w:cs="Arial"/>
                <w:b/>
                <w:bCs/>
                <w:sz w:val="24"/>
                <w:szCs w:val="24"/>
                <w:lang w:val="es-MX"/>
              </w:rPr>
            </w:pPr>
            <w:r w:rsidRPr="00B95140">
              <w:rPr>
                <w:rFonts w:ascii="Arial" w:hAnsi="Arial" w:cs="Arial"/>
                <w:b/>
                <w:bCs/>
                <w:sz w:val="24"/>
                <w:szCs w:val="24"/>
                <w:lang w:val="es-MX"/>
              </w:rPr>
              <w:t>Caratulado</w:t>
            </w:r>
          </w:p>
        </w:tc>
        <w:tc>
          <w:tcPr>
            <w:tcW w:w="6139" w:type="dxa"/>
          </w:tcPr>
          <w:p w14:paraId="7E27AA74" w14:textId="3E32941D" w:rsidR="00C727FE" w:rsidRPr="00B95140" w:rsidRDefault="00C727FE" w:rsidP="00C727FE">
            <w:pPr>
              <w:spacing w:after="160" w:line="259" w:lineRule="auto"/>
              <w:rPr>
                <w:rFonts w:ascii="Arial" w:hAnsi="Arial" w:cs="Arial"/>
                <w:sz w:val="24"/>
                <w:szCs w:val="24"/>
                <w:lang w:val="es-MX"/>
              </w:rPr>
            </w:pPr>
            <w:r w:rsidRPr="00B95140">
              <w:rPr>
                <w:rFonts w:ascii="Arial" w:hAnsi="Arial" w:cs="Arial"/>
                <w:sz w:val="24"/>
                <w:szCs w:val="24"/>
                <w:lang w:val="es-MX"/>
              </w:rPr>
              <w:t>Sánchez con Servicio Nacional de Migraciones</w:t>
            </w:r>
          </w:p>
        </w:tc>
      </w:tr>
    </w:tbl>
    <w:p w14:paraId="56FAF2F5" w14:textId="77777777" w:rsidR="00934D43" w:rsidRDefault="00934D43" w:rsidP="00DF09E6">
      <w:pPr>
        <w:jc w:val="both"/>
        <w:rPr>
          <w:rFonts w:ascii="Arial" w:hAnsi="Arial" w:cs="Arial"/>
          <w:sz w:val="24"/>
          <w:szCs w:val="24"/>
          <w:lang w:val="es-MX"/>
        </w:rPr>
      </w:pPr>
    </w:p>
    <w:p w14:paraId="6C32339E" w14:textId="6FEFA0DB" w:rsidR="00DF09E6" w:rsidRPr="00B95140" w:rsidRDefault="00934D43" w:rsidP="00DF09E6">
      <w:pPr>
        <w:jc w:val="both"/>
        <w:rPr>
          <w:rFonts w:ascii="Arial" w:hAnsi="Arial" w:cs="Arial"/>
          <w:sz w:val="24"/>
          <w:szCs w:val="24"/>
          <w:lang w:val="es-MX"/>
        </w:rPr>
      </w:pPr>
      <w:r>
        <w:rPr>
          <w:rFonts w:ascii="Arial" w:hAnsi="Arial" w:cs="Arial"/>
          <w:sz w:val="24"/>
          <w:szCs w:val="24"/>
          <w:lang w:val="es-MX"/>
        </w:rPr>
        <w:t>L</w:t>
      </w:r>
      <w:r w:rsidR="00DF09E6" w:rsidRPr="00B95140">
        <w:rPr>
          <w:rFonts w:ascii="Arial" w:hAnsi="Arial" w:cs="Arial"/>
          <w:sz w:val="24"/>
          <w:szCs w:val="24"/>
          <w:lang w:val="es-MX"/>
        </w:rPr>
        <w:t xml:space="preserve">os recurrentes, ambos </w:t>
      </w:r>
      <w:r w:rsidR="006959D9">
        <w:rPr>
          <w:rFonts w:ascii="Arial" w:hAnsi="Arial" w:cs="Arial"/>
          <w:sz w:val="24"/>
          <w:szCs w:val="24"/>
          <w:lang w:val="es-MX"/>
        </w:rPr>
        <w:t>adolescentes</w:t>
      </w:r>
      <w:r w:rsidR="00DF09E6" w:rsidRPr="00B95140">
        <w:rPr>
          <w:rFonts w:ascii="Arial" w:hAnsi="Arial" w:cs="Arial"/>
          <w:sz w:val="24"/>
          <w:szCs w:val="24"/>
          <w:lang w:val="es-MX"/>
        </w:rPr>
        <w:t xml:space="preserve"> y representados por su madre, interponen un recurso de protección en contra del Servicio Nacional de Migraciones por perturbar de forma ilegal y arbitraria su derecho a la igualdad ante ley garantizado en el art. 19 N°2 de </w:t>
      </w:r>
      <w:r w:rsidR="00A17EF0">
        <w:rPr>
          <w:rFonts w:ascii="Arial" w:hAnsi="Arial" w:cs="Arial"/>
          <w:sz w:val="24"/>
          <w:szCs w:val="24"/>
          <w:lang w:val="es-MX"/>
        </w:rPr>
        <w:t xml:space="preserve">la </w:t>
      </w:r>
      <w:r w:rsidR="00807668">
        <w:rPr>
          <w:rFonts w:ascii="Arial" w:hAnsi="Arial" w:cs="Arial"/>
          <w:sz w:val="24"/>
          <w:szCs w:val="24"/>
          <w:lang w:val="es-MX"/>
        </w:rPr>
        <w:t>C</w:t>
      </w:r>
      <w:r w:rsidR="00A17EF0">
        <w:rPr>
          <w:rFonts w:ascii="Arial" w:hAnsi="Arial" w:cs="Arial"/>
          <w:sz w:val="24"/>
          <w:szCs w:val="24"/>
          <w:lang w:val="es-MX"/>
        </w:rPr>
        <w:t>onstitución</w:t>
      </w:r>
      <w:r w:rsidR="00DF09E6" w:rsidRPr="00B95140">
        <w:rPr>
          <w:rFonts w:ascii="Arial" w:hAnsi="Arial" w:cs="Arial"/>
          <w:sz w:val="24"/>
          <w:szCs w:val="24"/>
          <w:lang w:val="es-MX"/>
        </w:rPr>
        <w:t>. Se argumenta que los recurrentes presentaron sus solicitudes de permanencia definitiva el 25</w:t>
      </w:r>
      <w:r w:rsidR="006959D9">
        <w:rPr>
          <w:rFonts w:ascii="Arial" w:hAnsi="Arial" w:cs="Arial"/>
          <w:sz w:val="24"/>
          <w:szCs w:val="24"/>
          <w:lang w:val="es-MX"/>
        </w:rPr>
        <w:t xml:space="preserve"> de noviembre del año 2021</w:t>
      </w:r>
      <w:r w:rsidR="00DF09E6" w:rsidRPr="00B95140">
        <w:rPr>
          <w:rFonts w:ascii="Arial" w:hAnsi="Arial" w:cs="Arial"/>
          <w:sz w:val="24"/>
          <w:szCs w:val="24"/>
          <w:lang w:val="es-MX"/>
        </w:rPr>
        <w:t xml:space="preserve"> y que hasta la fecha de </w:t>
      </w:r>
      <w:r w:rsidR="006959D9">
        <w:rPr>
          <w:rFonts w:ascii="Arial" w:hAnsi="Arial" w:cs="Arial"/>
          <w:sz w:val="24"/>
          <w:szCs w:val="24"/>
          <w:lang w:val="es-MX"/>
        </w:rPr>
        <w:t xml:space="preserve">la </w:t>
      </w:r>
      <w:r w:rsidR="00DF09E6" w:rsidRPr="00B95140">
        <w:rPr>
          <w:rFonts w:ascii="Arial" w:hAnsi="Arial" w:cs="Arial"/>
          <w:sz w:val="24"/>
          <w:szCs w:val="24"/>
          <w:lang w:val="es-MX"/>
        </w:rPr>
        <w:t>interposición del recurso no han recibido respuesta</w:t>
      </w:r>
      <w:r w:rsidR="00A17EF0">
        <w:rPr>
          <w:rFonts w:ascii="Arial" w:hAnsi="Arial" w:cs="Arial"/>
          <w:sz w:val="24"/>
          <w:szCs w:val="24"/>
          <w:lang w:val="es-MX"/>
        </w:rPr>
        <w:t>;</w:t>
      </w:r>
      <w:r w:rsidR="00DF09E6" w:rsidRPr="00B95140">
        <w:rPr>
          <w:rFonts w:ascii="Arial" w:hAnsi="Arial" w:cs="Arial"/>
          <w:sz w:val="24"/>
          <w:szCs w:val="24"/>
          <w:lang w:val="es-MX"/>
        </w:rPr>
        <w:t xml:space="preserve"> en cambio, </w:t>
      </w:r>
      <w:r w:rsidR="00A17EF0">
        <w:rPr>
          <w:rFonts w:ascii="Arial" w:hAnsi="Arial" w:cs="Arial"/>
          <w:sz w:val="24"/>
          <w:szCs w:val="24"/>
          <w:lang w:val="es-MX"/>
        </w:rPr>
        <w:t xml:space="preserve">a </w:t>
      </w:r>
      <w:r w:rsidR="00DF09E6" w:rsidRPr="00B95140">
        <w:rPr>
          <w:rFonts w:ascii="Arial" w:hAnsi="Arial" w:cs="Arial"/>
          <w:sz w:val="24"/>
          <w:szCs w:val="24"/>
          <w:lang w:val="es-MX"/>
        </w:rPr>
        <w:t>su madre</w:t>
      </w:r>
      <w:r w:rsidR="00A17EF0">
        <w:rPr>
          <w:rFonts w:ascii="Arial" w:hAnsi="Arial" w:cs="Arial"/>
          <w:sz w:val="24"/>
          <w:szCs w:val="24"/>
          <w:lang w:val="es-MX"/>
        </w:rPr>
        <w:t>,</w:t>
      </w:r>
      <w:r w:rsidR="00DF09E6" w:rsidRPr="00B95140">
        <w:rPr>
          <w:rFonts w:ascii="Arial" w:hAnsi="Arial" w:cs="Arial"/>
          <w:sz w:val="24"/>
          <w:szCs w:val="24"/>
          <w:lang w:val="es-MX"/>
        </w:rPr>
        <w:t xml:space="preserve"> quien realizó la solicitud en la misma fecha</w:t>
      </w:r>
      <w:r w:rsidR="00A17EF0">
        <w:rPr>
          <w:rFonts w:ascii="Arial" w:hAnsi="Arial" w:cs="Arial"/>
          <w:sz w:val="24"/>
          <w:szCs w:val="24"/>
          <w:lang w:val="es-MX"/>
        </w:rPr>
        <w:t xml:space="preserve"> señalada,</w:t>
      </w:r>
      <w:r w:rsidR="00DF09E6" w:rsidRPr="00B95140">
        <w:rPr>
          <w:rFonts w:ascii="Arial" w:hAnsi="Arial" w:cs="Arial"/>
          <w:sz w:val="24"/>
          <w:szCs w:val="24"/>
          <w:lang w:val="es-MX"/>
        </w:rPr>
        <w:t xml:space="preserve"> </w:t>
      </w:r>
      <w:r w:rsidR="006959D9">
        <w:rPr>
          <w:rFonts w:ascii="Arial" w:hAnsi="Arial" w:cs="Arial"/>
          <w:sz w:val="24"/>
          <w:szCs w:val="24"/>
          <w:lang w:val="es-MX"/>
        </w:rPr>
        <w:t xml:space="preserve">se le </w:t>
      </w:r>
      <w:r w:rsidR="00DF09E6" w:rsidRPr="00B95140">
        <w:rPr>
          <w:rFonts w:ascii="Arial" w:hAnsi="Arial" w:cs="Arial"/>
          <w:sz w:val="24"/>
          <w:szCs w:val="24"/>
          <w:lang w:val="es-MX"/>
        </w:rPr>
        <w:t>conced</w:t>
      </w:r>
      <w:r w:rsidR="00A17EF0">
        <w:rPr>
          <w:rFonts w:ascii="Arial" w:hAnsi="Arial" w:cs="Arial"/>
          <w:sz w:val="24"/>
          <w:szCs w:val="24"/>
          <w:lang w:val="es-MX"/>
        </w:rPr>
        <w:t>ió</w:t>
      </w:r>
      <w:r w:rsidR="00DF09E6" w:rsidRPr="00B95140">
        <w:rPr>
          <w:rFonts w:ascii="Arial" w:hAnsi="Arial" w:cs="Arial"/>
          <w:sz w:val="24"/>
          <w:szCs w:val="24"/>
          <w:lang w:val="es-MX"/>
        </w:rPr>
        <w:t xml:space="preserve"> la residencia definitiva. </w:t>
      </w:r>
    </w:p>
    <w:p w14:paraId="3335A59C" w14:textId="1794C85E" w:rsidR="009232E6" w:rsidRPr="00B95140" w:rsidRDefault="00DF09E6" w:rsidP="00DF09E6">
      <w:pPr>
        <w:jc w:val="both"/>
        <w:rPr>
          <w:rFonts w:ascii="Arial" w:hAnsi="Arial" w:cs="Arial"/>
          <w:sz w:val="24"/>
          <w:szCs w:val="24"/>
          <w:lang w:val="es-MX"/>
        </w:rPr>
      </w:pPr>
      <w:r w:rsidRPr="00B95140">
        <w:rPr>
          <w:rFonts w:ascii="Arial" w:hAnsi="Arial" w:cs="Arial"/>
          <w:sz w:val="24"/>
          <w:szCs w:val="24"/>
          <w:lang w:val="es-MX"/>
        </w:rPr>
        <w:t>Por su parte, el Servicio Nacional de Extranjería argumentó que el recurso de protección no reúne los requisitos básicos que se exigen para su tramitación</w:t>
      </w:r>
      <w:r w:rsidR="00A17EF0">
        <w:rPr>
          <w:rFonts w:ascii="Arial" w:hAnsi="Arial" w:cs="Arial"/>
          <w:sz w:val="24"/>
          <w:szCs w:val="24"/>
          <w:lang w:val="es-MX"/>
        </w:rPr>
        <w:t>,</w:t>
      </w:r>
      <w:r w:rsidRPr="00B95140">
        <w:rPr>
          <w:rFonts w:ascii="Arial" w:hAnsi="Arial" w:cs="Arial"/>
          <w:sz w:val="24"/>
          <w:szCs w:val="24"/>
          <w:lang w:val="es-MX"/>
        </w:rPr>
        <w:t xml:space="preserve"> puesto que la supuesta omisión arbitraria e ilegal que se alega no generaría por sí sola una vulneración a los derechos fundamentales protegidos en la Constitución. Asimismo, destaca que mientras se realiza el tr</w:t>
      </w:r>
      <w:r w:rsidR="00A17EF0">
        <w:rPr>
          <w:rFonts w:ascii="Arial" w:hAnsi="Arial" w:cs="Arial"/>
          <w:sz w:val="24"/>
          <w:szCs w:val="24"/>
          <w:lang w:val="es-MX"/>
        </w:rPr>
        <w:t>á</w:t>
      </w:r>
      <w:r w:rsidRPr="00B95140">
        <w:rPr>
          <w:rFonts w:ascii="Arial" w:hAnsi="Arial" w:cs="Arial"/>
          <w:sz w:val="24"/>
          <w:szCs w:val="24"/>
          <w:lang w:val="es-MX"/>
        </w:rPr>
        <w:t xml:space="preserve">mite de solicitud de permanencia definitiva todo extranjero puede </w:t>
      </w:r>
      <w:r w:rsidR="009232E6" w:rsidRPr="00B95140">
        <w:rPr>
          <w:rFonts w:ascii="Arial" w:hAnsi="Arial" w:cs="Arial"/>
          <w:sz w:val="24"/>
          <w:szCs w:val="24"/>
          <w:lang w:val="es-MX"/>
        </w:rPr>
        <w:t>desarrollar su vida de forma plena. Por último, el recurrido opuso la excepción de falta de legitimación pasiva en base a que el recurso est</w:t>
      </w:r>
      <w:r w:rsidR="00A17EF0">
        <w:rPr>
          <w:rFonts w:ascii="Arial" w:hAnsi="Arial" w:cs="Arial"/>
          <w:sz w:val="24"/>
          <w:szCs w:val="24"/>
          <w:lang w:val="es-MX"/>
        </w:rPr>
        <w:t>á</w:t>
      </w:r>
      <w:r w:rsidR="009232E6" w:rsidRPr="00B95140">
        <w:rPr>
          <w:rFonts w:ascii="Arial" w:hAnsi="Arial" w:cs="Arial"/>
          <w:sz w:val="24"/>
          <w:szCs w:val="24"/>
          <w:lang w:val="es-MX"/>
        </w:rPr>
        <w:t xml:space="preserve"> dirigido en contra del Servicio Nacional de Migraciones, </w:t>
      </w:r>
      <w:r w:rsidR="00A17EF0">
        <w:rPr>
          <w:rFonts w:ascii="Arial" w:hAnsi="Arial" w:cs="Arial"/>
          <w:sz w:val="24"/>
          <w:szCs w:val="24"/>
          <w:lang w:val="es-MX"/>
        </w:rPr>
        <w:t>en circunstancias que</w:t>
      </w:r>
      <w:r w:rsidR="009232E6" w:rsidRPr="00B95140">
        <w:rPr>
          <w:rFonts w:ascii="Arial" w:hAnsi="Arial" w:cs="Arial"/>
          <w:sz w:val="24"/>
          <w:szCs w:val="24"/>
          <w:lang w:val="es-MX"/>
        </w:rPr>
        <w:t xml:space="preserve"> la omisión que se alega emana de terceros indeterminados. </w:t>
      </w:r>
    </w:p>
    <w:p w14:paraId="329B5064" w14:textId="05164D2B" w:rsidR="00C80362" w:rsidRPr="00B95140" w:rsidRDefault="009232E6" w:rsidP="00934D43">
      <w:pPr>
        <w:jc w:val="both"/>
        <w:rPr>
          <w:rFonts w:ascii="Arial" w:hAnsi="Arial" w:cs="Arial"/>
          <w:sz w:val="24"/>
          <w:szCs w:val="24"/>
          <w:lang w:val="es-MX"/>
        </w:rPr>
      </w:pPr>
      <w:r w:rsidRPr="00B95140">
        <w:rPr>
          <w:rFonts w:ascii="Arial" w:hAnsi="Arial" w:cs="Arial"/>
          <w:sz w:val="24"/>
          <w:szCs w:val="24"/>
          <w:lang w:val="es-MX"/>
        </w:rPr>
        <w:t xml:space="preserve">Finalmente, la Corte de Apelaciones rechaza la </w:t>
      </w:r>
      <w:r w:rsidR="000F7071" w:rsidRPr="00B95140">
        <w:rPr>
          <w:rFonts w:ascii="Arial" w:hAnsi="Arial" w:cs="Arial"/>
          <w:sz w:val="24"/>
          <w:szCs w:val="24"/>
          <w:lang w:val="es-MX"/>
        </w:rPr>
        <w:t>solicitud</w:t>
      </w:r>
      <w:r w:rsidRPr="00B95140">
        <w:rPr>
          <w:rFonts w:ascii="Arial" w:hAnsi="Arial" w:cs="Arial"/>
          <w:sz w:val="24"/>
          <w:szCs w:val="24"/>
          <w:lang w:val="es-MX"/>
        </w:rPr>
        <w:t xml:space="preserve"> de </w:t>
      </w:r>
      <w:r w:rsidR="000F7071" w:rsidRPr="00B95140">
        <w:rPr>
          <w:rFonts w:ascii="Arial" w:hAnsi="Arial" w:cs="Arial"/>
          <w:sz w:val="24"/>
          <w:szCs w:val="24"/>
          <w:lang w:val="es-MX"/>
        </w:rPr>
        <w:t>inadmisibilidad</w:t>
      </w:r>
      <w:r w:rsidRPr="00B95140">
        <w:rPr>
          <w:rFonts w:ascii="Arial" w:hAnsi="Arial" w:cs="Arial"/>
          <w:sz w:val="24"/>
          <w:szCs w:val="24"/>
          <w:lang w:val="es-MX"/>
        </w:rPr>
        <w:t xml:space="preserve"> del recurso de protección</w:t>
      </w:r>
      <w:r w:rsidR="00A17EF0">
        <w:rPr>
          <w:rFonts w:ascii="Arial" w:hAnsi="Arial" w:cs="Arial"/>
          <w:sz w:val="24"/>
          <w:szCs w:val="24"/>
          <w:lang w:val="es-MX"/>
        </w:rPr>
        <w:t xml:space="preserve"> y </w:t>
      </w:r>
      <w:r w:rsidRPr="00B95140">
        <w:rPr>
          <w:rFonts w:ascii="Arial" w:hAnsi="Arial" w:cs="Arial"/>
          <w:sz w:val="24"/>
          <w:szCs w:val="24"/>
          <w:lang w:val="es-MX"/>
        </w:rPr>
        <w:t>la excepción de falta de legitimación pasiva</w:t>
      </w:r>
      <w:r w:rsidR="00A17EF0">
        <w:rPr>
          <w:rFonts w:ascii="Arial" w:hAnsi="Arial" w:cs="Arial"/>
          <w:sz w:val="24"/>
          <w:szCs w:val="24"/>
          <w:lang w:val="es-MX"/>
        </w:rPr>
        <w:t xml:space="preserve">, </w:t>
      </w:r>
      <w:r w:rsidR="000F7071" w:rsidRPr="00B95140">
        <w:rPr>
          <w:rFonts w:ascii="Arial" w:hAnsi="Arial" w:cs="Arial"/>
          <w:sz w:val="24"/>
          <w:szCs w:val="24"/>
          <w:lang w:val="es-MX"/>
        </w:rPr>
        <w:t>acog</w:t>
      </w:r>
      <w:r w:rsidR="00A17EF0">
        <w:rPr>
          <w:rFonts w:ascii="Arial" w:hAnsi="Arial" w:cs="Arial"/>
          <w:sz w:val="24"/>
          <w:szCs w:val="24"/>
          <w:lang w:val="es-MX"/>
        </w:rPr>
        <w:t>i</w:t>
      </w:r>
      <w:r w:rsidR="000F7071" w:rsidRPr="00B95140">
        <w:rPr>
          <w:rFonts w:ascii="Arial" w:hAnsi="Arial" w:cs="Arial"/>
          <w:sz w:val="24"/>
          <w:szCs w:val="24"/>
          <w:lang w:val="es-MX"/>
        </w:rPr>
        <w:t>e</w:t>
      </w:r>
      <w:r w:rsidR="00A17EF0">
        <w:rPr>
          <w:rFonts w:ascii="Arial" w:hAnsi="Arial" w:cs="Arial"/>
          <w:sz w:val="24"/>
          <w:szCs w:val="24"/>
          <w:lang w:val="es-MX"/>
        </w:rPr>
        <w:t>ndo</w:t>
      </w:r>
      <w:r w:rsidR="000F7071" w:rsidRPr="00B95140">
        <w:rPr>
          <w:rFonts w:ascii="Arial" w:hAnsi="Arial" w:cs="Arial"/>
          <w:sz w:val="24"/>
          <w:szCs w:val="24"/>
          <w:lang w:val="es-MX"/>
        </w:rPr>
        <w:t xml:space="preserve"> el recurso de protección interpuesto. La Corte consideró que la gestión administrativa se había dilatado de manera excesiva (dos años), sin existir una fundamentación apropiada que justifique la omisión, incurriendo por tanto en un actuar arbitrari</w:t>
      </w:r>
      <w:r w:rsidR="00A17EF0">
        <w:rPr>
          <w:rFonts w:ascii="Arial" w:hAnsi="Arial" w:cs="Arial"/>
          <w:sz w:val="24"/>
          <w:szCs w:val="24"/>
          <w:lang w:val="es-MX"/>
        </w:rPr>
        <w:t>o</w:t>
      </w:r>
      <w:r w:rsidR="000F7071" w:rsidRPr="00B95140">
        <w:rPr>
          <w:rFonts w:ascii="Arial" w:hAnsi="Arial" w:cs="Arial"/>
          <w:sz w:val="24"/>
          <w:szCs w:val="24"/>
          <w:lang w:val="es-MX"/>
        </w:rPr>
        <w:t xml:space="preserve"> y no igualitario. Además, la tardanza en resolver la solicitud de permanencia definitiva deja a los </w:t>
      </w:r>
      <w:r w:rsidR="006959D9">
        <w:rPr>
          <w:rFonts w:ascii="Arial" w:hAnsi="Arial" w:cs="Arial"/>
          <w:sz w:val="24"/>
          <w:szCs w:val="24"/>
          <w:lang w:val="es-MX"/>
        </w:rPr>
        <w:t>adolescentes</w:t>
      </w:r>
      <w:r w:rsidR="000F7071" w:rsidRPr="00B95140">
        <w:rPr>
          <w:rFonts w:ascii="Arial" w:hAnsi="Arial" w:cs="Arial"/>
          <w:sz w:val="24"/>
          <w:szCs w:val="24"/>
          <w:lang w:val="es-MX"/>
        </w:rPr>
        <w:t xml:space="preserve"> en una situación de incertidumbre que va en contra de</w:t>
      </w:r>
      <w:r w:rsidR="006959D9">
        <w:rPr>
          <w:rFonts w:ascii="Arial" w:hAnsi="Arial" w:cs="Arial"/>
          <w:sz w:val="24"/>
          <w:szCs w:val="24"/>
          <w:lang w:val="es-MX"/>
        </w:rPr>
        <w:t xml:space="preserve"> su interés superior del niño.</w:t>
      </w:r>
      <w:bookmarkStart w:id="0" w:name="_GoBack"/>
      <w:bookmarkEnd w:id="0"/>
    </w:p>
    <w:sectPr w:rsidR="00C80362" w:rsidRPr="00B95140">
      <w:headerReference w:type="default" r:id="rId6"/>
      <w:footerReference w:type="even"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74CA8" w14:textId="77777777" w:rsidR="00A57BDB" w:rsidRDefault="00A57BDB" w:rsidP="00B95140">
      <w:pPr>
        <w:spacing w:after="0" w:line="240" w:lineRule="auto"/>
      </w:pPr>
      <w:r>
        <w:separator/>
      </w:r>
    </w:p>
  </w:endnote>
  <w:endnote w:type="continuationSeparator" w:id="0">
    <w:p w14:paraId="07A7BC82" w14:textId="77777777" w:rsidR="00A57BDB" w:rsidRDefault="00A57BDB" w:rsidP="00B95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423017522"/>
      <w:docPartObj>
        <w:docPartGallery w:val="Page Numbers (Bottom of Page)"/>
        <w:docPartUnique/>
      </w:docPartObj>
    </w:sdtPr>
    <w:sdtEndPr>
      <w:rPr>
        <w:rStyle w:val="Nmerodepgina"/>
      </w:rPr>
    </w:sdtEndPr>
    <w:sdtContent>
      <w:p w14:paraId="541ACC68" w14:textId="32D2A1D9" w:rsidR="00A17EF0" w:rsidRDefault="00A17EF0" w:rsidP="004710C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153BA32" w14:textId="77777777" w:rsidR="00A17EF0" w:rsidRDefault="00A17EF0" w:rsidP="00934D43">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643011038"/>
      <w:docPartObj>
        <w:docPartGallery w:val="Page Numbers (Bottom of Page)"/>
        <w:docPartUnique/>
      </w:docPartObj>
    </w:sdtPr>
    <w:sdtEndPr>
      <w:rPr>
        <w:rStyle w:val="Nmerodepgina"/>
      </w:rPr>
    </w:sdtEndPr>
    <w:sdtContent>
      <w:p w14:paraId="66ABDDDC" w14:textId="5C63835C" w:rsidR="00A17EF0" w:rsidRDefault="00A17EF0" w:rsidP="004710C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34D43">
          <w:rPr>
            <w:rStyle w:val="Nmerodepgina"/>
            <w:noProof/>
          </w:rPr>
          <w:t>1</w:t>
        </w:r>
        <w:r>
          <w:rPr>
            <w:rStyle w:val="Nmerodepgina"/>
          </w:rPr>
          <w:fldChar w:fldCharType="end"/>
        </w:r>
      </w:p>
    </w:sdtContent>
  </w:sdt>
  <w:p w14:paraId="36153555" w14:textId="77777777" w:rsidR="00A17EF0" w:rsidRDefault="00A17EF0" w:rsidP="00934D43">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DCD49" w14:textId="77777777" w:rsidR="00A57BDB" w:rsidRDefault="00A57BDB" w:rsidP="00B95140">
      <w:pPr>
        <w:spacing w:after="0" w:line="240" w:lineRule="auto"/>
      </w:pPr>
      <w:r>
        <w:separator/>
      </w:r>
    </w:p>
  </w:footnote>
  <w:footnote w:type="continuationSeparator" w:id="0">
    <w:p w14:paraId="7825DD66" w14:textId="77777777" w:rsidR="00A57BDB" w:rsidRDefault="00A57BDB" w:rsidP="00B95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58314" w14:textId="4DFD4C99" w:rsidR="00B95140" w:rsidRDefault="00B95140" w:rsidP="00B95140">
    <w:pPr>
      <w:pStyle w:val="Encabezado"/>
      <w:jc w:val="right"/>
    </w:pPr>
    <w:r>
      <w:rPr>
        <w:noProof/>
        <w:lang w:eastAsia="es-CL"/>
      </w:rPr>
      <w:drawing>
        <wp:inline distT="0" distB="0" distL="0" distR="0" wp14:anchorId="151F250D" wp14:editId="66DD2C67">
          <wp:extent cx="993775" cy="1120775"/>
          <wp:effectExtent l="0" t="0" r="0" b="3175"/>
          <wp:docPr id="2" name="image2.pn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2" name="image2.png" descr="Imagen que contiene Texto&#10;&#10;Descripción generada automáticamente"/>
                  <pic:cNvPicPr/>
                </pic:nvPicPr>
                <pic:blipFill>
                  <a:blip r:embed="rId1"/>
                  <a:srcRect/>
                  <a:stretch>
                    <a:fillRect/>
                  </a:stretch>
                </pic:blipFill>
                <pic:spPr>
                  <a:xfrm>
                    <a:off x="0" y="0"/>
                    <a:ext cx="993775" cy="1120775"/>
                  </a:xfrm>
                  <a:prstGeom prst="rect">
                    <a:avLst/>
                  </a:prstGeom>
                  <a:ln/>
                </pic:spPr>
              </pic:pic>
            </a:graphicData>
          </a:graphic>
        </wp:inline>
      </w:drawing>
    </w:r>
  </w:p>
  <w:p w14:paraId="097079FA" w14:textId="77777777" w:rsidR="00B95140" w:rsidRDefault="00B9514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362"/>
    <w:rsid w:val="000F7071"/>
    <w:rsid w:val="00180A5D"/>
    <w:rsid w:val="002B1453"/>
    <w:rsid w:val="00327432"/>
    <w:rsid w:val="003D7CBF"/>
    <w:rsid w:val="004111AC"/>
    <w:rsid w:val="006959D9"/>
    <w:rsid w:val="006E4E54"/>
    <w:rsid w:val="007E4B63"/>
    <w:rsid w:val="00807668"/>
    <w:rsid w:val="009232E6"/>
    <w:rsid w:val="00934D43"/>
    <w:rsid w:val="00A17EF0"/>
    <w:rsid w:val="00A57BDB"/>
    <w:rsid w:val="00B867DB"/>
    <w:rsid w:val="00B95140"/>
    <w:rsid w:val="00BE6AFD"/>
    <w:rsid w:val="00C727FE"/>
    <w:rsid w:val="00C80362"/>
    <w:rsid w:val="00DF09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31BE"/>
  <w15:chartTrackingRefBased/>
  <w15:docId w15:val="{4768D515-03EC-4FFB-9ABD-56FA68F2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72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951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5140"/>
  </w:style>
  <w:style w:type="paragraph" w:styleId="Piedepgina">
    <w:name w:val="footer"/>
    <w:basedOn w:val="Normal"/>
    <w:link w:val="PiedepginaCar"/>
    <w:uiPriority w:val="99"/>
    <w:unhideWhenUsed/>
    <w:rsid w:val="00B95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5140"/>
  </w:style>
  <w:style w:type="paragraph" w:styleId="Revisin">
    <w:name w:val="Revision"/>
    <w:hidden/>
    <w:uiPriority w:val="99"/>
    <w:semiHidden/>
    <w:rsid w:val="00A17EF0"/>
    <w:pPr>
      <w:spacing w:after="0" w:line="240" w:lineRule="auto"/>
    </w:pPr>
  </w:style>
  <w:style w:type="character" w:styleId="Nmerodepgina">
    <w:name w:val="page number"/>
    <w:basedOn w:val="Fuentedeprrafopredeter"/>
    <w:uiPriority w:val="99"/>
    <w:semiHidden/>
    <w:unhideWhenUsed/>
    <w:rsid w:val="00A1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346</Words>
  <Characters>1905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parra derout</dc:creator>
  <cp:keywords/>
  <dc:description/>
  <cp:lastModifiedBy>Valeria Sepúlveda</cp:lastModifiedBy>
  <cp:revision>9</cp:revision>
  <dcterms:created xsi:type="dcterms:W3CDTF">2023-11-24T17:57:00Z</dcterms:created>
  <dcterms:modified xsi:type="dcterms:W3CDTF">2024-01-05T14:56:00Z</dcterms:modified>
</cp:coreProperties>
</file>