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A82EC6" w14:textId="77777777" w:rsidR="002013F0" w:rsidRPr="00187ECC" w:rsidRDefault="002013F0" w:rsidP="002013F0">
      <w:pPr>
        <w:pStyle w:val="Prrafodelista"/>
        <w:pBdr>
          <w:top w:val="nil"/>
          <w:left w:val="nil"/>
          <w:bottom w:val="nil"/>
          <w:right w:val="nil"/>
          <w:between w:val="nil"/>
        </w:pBdr>
        <w:spacing w:line="480" w:lineRule="auto"/>
        <w:ind w:left="1080"/>
        <w:jc w:val="center"/>
        <w:rPr>
          <w:rFonts w:ascii="Arial" w:eastAsia="Times New Roman" w:hAnsi="Arial" w:cs="Arial"/>
          <w:b/>
          <w:color w:val="000000"/>
          <w:sz w:val="24"/>
          <w:szCs w:val="24"/>
        </w:rPr>
      </w:pPr>
      <w:r w:rsidRPr="00187ECC">
        <w:rPr>
          <w:rFonts w:ascii="Arial" w:eastAsia="Times New Roman" w:hAnsi="Arial" w:cs="Arial"/>
          <w:b/>
          <w:color w:val="000000"/>
          <w:sz w:val="24"/>
          <w:szCs w:val="24"/>
        </w:rPr>
        <w:t>Observatorio Jurisprudencial</w:t>
      </w:r>
    </w:p>
    <w:p w14:paraId="5E1751DF" w14:textId="77777777" w:rsidR="002013F0" w:rsidRPr="00EF08A9" w:rsidRDefault="002013F0" w:rsidP="002013F0">
      <w:pPr>
        <w:pStyle w:val="Prrafodelista"/>
        <w:pBdr>
          <w:top w:val="nil"/>
          <w:left w:val="nil"/>
          <w:bottom w:val="nil"/>
          <w:right w:val="nil"/>
          <w:between w:val="nil"/>
        </w:pBdr>
        <w:spacing w:line="276" w:lineRule="auto"/>
        <w:ind w:left="1080"/>
        <w:jc w:val="center"/>
        <w:rPr>
          <w:rFonts w:ascii="Arial" w:eastAsia="Times New Roman" w:hAnsi="Arial" w:cs="Arial"/>
          <w:color w:val="000000"/>
          <w:sz w:val="24"/>
          <w:szCs w:val="24"/>
        </w:rPr>
      </w:pPr>
      <w:r w:rsidRPr="00EF08A9">
        <w:rPr>
          <w:rFonts w:ascii="Arial" w:eastAsia="Times New Roman" w:hAnsi="Arial" w:cs="Arial"/>
          <w:color w:val="000000"/>
          <w:sz w:val="24"/>
          <w:szCs w:val="24"/>
        </w:rPr>
        <w:t>Programa Persona, Familias y Derecho</w:t>
      </w:r>
    </w:p>
    <w:p w14:paraId="3FACC016" w14:textId="77777777" w:rsidR="002013F0" w:rsidRDefault="002013F0" w:rsidP="002013F0">
      <w:pPr>
        <w:pStyle w:val="Prrafodelista"/>
        <w:pBdr>
          <w:top w:val="nil"/>
          <w:left w:val="nil"/>
          <w:bottom w:val="nil"/>
          <w:right w:val="nil"/>
          <w:between w:val="nil"/>
        </w:pBdr>
        <w:spacing w:line="276" w:lineRule="auto"/>
        <w:ind w:left="1080"/>
        <w:jc w:val="center"/>
        <w:rPr>
          <w:rFonts w:ascii="Arial" w:eastAsia="Times New Roman" w:hAnsi="Arial" w:cs="Arial"/>
          <w:b/>
          <w:color w:val="000000"/>
          <w:sz w:val="24"/>
          <w:szCs w:val="24"/>
          <w:lang w:val="es-ES_tradnl"/>
        </w:rPr>
      </w:pPr>
    </w:p>
    <w:tbl>
      <w:tblPr>
        <w:tblStyle w:val="Tablaconcuadrcula1"/>
        <w:tblpPr w:leftFromText="141" w:rightFromText="141" w:vertAnchor="text" w:horzAnchor="margin" w:tblpXSpec="center" w:tblpY="-54"/>
        <w:tblW w:w="0" w:type="auto"/>
        <w:tblLook w:val="04A0" w:firstRow="1" w:lastRow="0" w:firstColumn="1" w:lastColumn="0" w:noHBand="0" w:noVBand="1"/>
      </w:tblPr>
      <w:tblGrid>
        <w:gridCol w:w="4414"/>
        <w:gridCol w:w="4414"/>
      </w:tblGrid>
      <w:tr w:rsidR="002013F0" w:rsidRPr="002B0BCD" w14:paraId="40D08B62" w14:textId="77777777" w:rsidTr="000D7E24">
        <w:tc>
          <w:tcPr>
            <w:tcW w:w="4414" w:type="dxa"/>
          </w:tcPr>
          <w:p w14:paraId="6151F14B" w14:textId="77777777" w:rsidR="002013F0" w:rsidRPr="002B0BCD" w:rsidRDefault="002013F0" w:rsidP="00662082">
            <w:pPr>
              <w:spacing w:line="276" w:lineRule="auto"/>
              <w:jc w:val="both"/>
              <w:rPr>
                <w:rFonts w:ascii="Arial" w:hAnsi="Arial" w:cs="Arial"/>
                <w:b/>
                <w:bCs/>
                <w:sz w:val="24"/>
                <w:lang w:val="es-ES_tradnl"/>
              </w:rPr>
            </w:pPr>
            <w:r w:rsidRPr="002B0BCD">
              <w:rPr>
                <w:rFonts w:ascii="Arial" w:hAnsi="Arial" w:cs="Arial"/>
                <w:b/>
                <w:bCs/>
                <w:sz w:val="24"/>
                <w:lang w:val="es-ES_tradnl"/>
              </w:rPr>
              <w:t>Tribunal</w:t>
            </w:r>
          </w:p>
        </w:tc>
        <w:tc>
          <w:tcPr>
            <w:tcW w:w="4414" w:type="dxa"/>
          </w:tcPr>
          <w:p w14:paraId="1FA2BA44" w14:textId="4759D348" w:rsidR="002013F0" w:rsidRPr="002B0BCD" w:rsidRDefault="002013F0" w:rsidP="00662082">
            <w:pPr>
              <w:spacing w:line="276" w:lineRule="auto"/>
              <w:jc w:val="both"/>
              <w:rPr>
                <w:rFonts w:ascii="Arial" w:hAnsi="Arial" w:cs="Arial"/>
                <w:sz w:val="24"/>
                <w:lang w:val="es-ES_tradnl"/>
              </w:rPr>
            </w:pPr>
            <w:r>
              <w:rPr>
                <w:rFonts w:ascii="Arial" w:hAnsi="Arial" w:cs="Arial"/>
                <w:sz w:val="24"/>
                <w:lang w:val="es-ES_tradnl"/>
              </w:rPr>
              <w:t>4° Juzgado de Familia de Santiago</w:t>
            </w:r>
          </w:p>
        </w:tc>
      </w:tr>
      <w:tr w:rsidR="002013F0" w:rsidRPr="002B0BCD" w14:paraId="2BDA23E2" w14:textId="77777777" w:rsidTr="000D7E24">
        <w:tc>
          <w:tcPr>
            <w:tcW w:w="4414" w:type="dxa"/>
          </w:tcPr>
          <w:p w14:paraId="1B800FC9" w14:textId="77777777" w:rsidR="002013F0" w:rsidRPr="002B0BCD" w:rsidRDefault="002013F0" w:rsidP="00662082">
            <w:pPr>
              <w:spacing w:line="276" w:lineRule="auto"/>
              <w:jc w:val="both"/>
              <w:rPr>
                <w:rFonts w:ascii="Arial" w:hAnsi="Arial" w:cs="Arial"/>
                <w:b/>
                <w:bCs/>
                <w:sz w:val="24"/>
                <w:lang w:val="es-ES_tradnl"/>
              </w:rPr>
            </w:pPr>
            <w:r w:rsidRPr="002B0BCD">
              <w:rPr>
                <w:rFonts w:ascii="Arial" w:hAnsi="Arial" w:cs="Arial"/>
                <w:b/>
                <w:bCs/>
                <w:sz w:val="24"/>
                <w:lang w:val="es-ES_tradnl"/>
              </w:rPr>
              <w:t>Rol</w:t>
            </w:r>
            <w:r>
              <w:rPr>
                <w:rFonts w:ascii="Arial" w:hAnsi="Arial" w:cs="Arial"/>
                <w:b/>
                <w:bCs/>
                <w:sz w:val="24"/>
                <w:lang w:val="es-ES_tradnl"/>
              </w:rPr>
              <w:t>/RIT</w:t>
            </w:r>
          </w:p>
        </w:tc>
        <w:tc>
          <w:tcPr>
            <w:tcW w:w="4414" w:type="dxa"/>
          </w:tcPr>
          <w:p w14:paraId="1AEA5C0D" w14:textId="4A10B1A1" w:rsidR="002013F0" w:rsidRPr="002B0BCD" w:rsidRDefault="002013F0" w:rsidP="00662082">
            <w:pPr>
              <w:spacing w:line="276" w:lineRule="auto"/>
              <w:jc w:val="both"/>
              <w:rPr>
                <w:rFonts w:ascii="Arial" w:hAnsi="Arial" w:cs="Arial"/>
                <w:sz w:val="24"/>
                <w:lang w:val="es-ES_tradnl"/>
              </w:rPr>
            </w:pPr>
            <w:r>
              <w:rPr>
                <w:rFonts w:ascii="Arial" w:hAnsi="Arial" w:cs="Arial"/>
                <w:sz w:val="24"/>
                <w:lang w:val="es-MX"/>
              </w:rPr>
              <w:t>C-8435-2019</w:t>
            </w:r>
          </w:p>
        </w:tc>
      </w:tr>
      <w:tr w:rsidR="002013F0" w:rsidRPr="002B0BCD" w14:paraId="7E0A5E72" w14:textId="77777777" w:rsidTr="000D7E24">
        <w:tc>
          <w:tcPr>
            <w:tcW w:w="4414" w:type="dxa"/>
          </w:tcPr>
          <w:p w14:paraId="6A9F61AD" w14:textId="77777777" w:rsidR="002013F0" w:rsidRPr="002B0BCD" w:rsidRDefault="002013F0" w:rsidP="00662082">
            <w:pPr>
              <w:spacing w:line="276" w:lineRule="auto"/>
              <w:jc w:val="both"/>
              <w:rPr>
                <w:rFonts w:ascii="Arial" w:hAnsi="Arial" w:cs="Arial"/>
                <w:b/>
                <w:bCs/>
                <w:sz w:val="24"/>
                <w:lang w:val="es-ES_tradnl"/>
              </w:rPr>
            </w:pPr>
            <w:r w:rsidRPr="002B0BCD">
              <w:rPr>
                <w:rFonts w:ascii="Arial" w:hAnsi="Arial" w:cs="Arial"/>
                <w:b/>
                <w:bCs/>
                <w:sz w:val="24"/>
                <w:lang w:val="es-ES_tradnl"/>
              </w:rPr>
              <w:t>Fecha de ingreso</w:t>
            </w:r>
          </w:p>
        </w:tc>
        <w:tc>
          <w:tcPr>
            <w:tcW w:w="4414" w:type="dxa"/>
          </w:tcPr>
          <w:p w14:paraId="7F731C1C" w14:textId="04D0CCF2" w:rsidR="002013F0" w:rsidRPr="002B0BCD" w:rsidRDefault="002013F0" w:rsidP="00662082">
            <w:pPr>
              <w:spacing w:line="276" w:lineRule="auto"/>
              <w:jc w:val="both"/>
              <w:rPr>
                <w:rFonts w:ascii="Arial" w:hAnsi="Arial" w:cs="Arial"/>
                <w:sz w:val="24"/>
                <w:lang w:val="es-ES_tradnl"/>
              </w:rPr>
            </w:pPr>
            <w:r>
              <w:rPr>
                <w:rFonts w:ascii="Arial" w:hAnsi="Arial" w:cs="Arial"/>
                <w:sz w:val="24"/>
                <w:lang w:val="es-ES_tradnl"/>
              </w:rPr>
              <w:t>11 de noviembre de 2019</w:t>
            </w:r>
          </w:p>
        </w:tc>
      </w:tr>
      <w:tr w:rsidR="002013F0" w:rsidRPr="002B0BCD" w14:paraId="328B43A0" w14:textId="77777777" w:rsidTr="000D7E24">
        <w:tc>
          <w:tcPr>
            <w:tcW w:w="4414" w:type="dxa"/>
          </w:tcPr>
          <w:p w14:paraId="6ED63A6A" w14:textId="77777777" w:rsidR="002013F0" w:rsidRPr="002B0BCD" w:rsidRDefault="002013F0" w:rsidP="00662082">
            <w:pPr>
              <w:tabs>
                <w:tab w:val="center" w:pos="2099"/>
              </w:tabs>
              <w:spacing w:line="276" w:lineRule="auto"/>
              <w:jc w:val="both"/>
              <w:rPr>
                <w:rFonts w:ascii="Arial" w:hAnsi="Arial" w:cs="Arial"/>
                <w:b/>
                <w:bCs/>
                <w:sz w:val="24"/>
                <w:lang w:val="es-ES_tradnl"/>
              </w:rPr>
            </w:pPr>
            <w:r w:rsidRPr="002B0BCD">
              <w:rPr>
                <w:rFonts w:ascii="Arial" w:hAnsi="Arial" w:cs="Arial"/>
                <w:b/>
                <w:bCs/>
                <w:sz w:val="24"/>
                <w:lang w:val="es-ES_tradnl"/>
              </w:rPr>
              <w:t>Recurso</w:t>
            </w:r>
            <w:r>
              <w:rPr>
                <w:rFonts w:ascii="Arial" w:hAnsi="Arial" w:cs="Arial"/>
                <w:b/>
                <w:bCs/>
                <w:sz w:val="24"/>
                <w:lang w:val="es-ES_tradnl"/>
              </w:rPr>
              <w:t>/Materia</w:t>
            </w:r>
            <w:r>
              <w:rPr>
                <w:rFonts w:ascii="Arial" w:hAnsi="Arial" w:cs="Arial"/>
                <w:b/>
                <w:bCs/>
                <w:sz w:val="24"/>
                <w:lang w:val="es-ES_tradnl"/>
              </w:rPr>
              <w:tab/>
            </w:r>
          </w:p>
        </w:tc>
        <w:tc>
          <w:tcPr>
            <w:tcW w:w="4414" w:type="dxa"/>
          </w:tcPr>
          <w:p w14:paraId="2B8BF037" w14:textId="3F590041" w:rsidR="002013F0" w:rsidRPr="002B0BCD" w:rsidRDefault="002013F0" w:rsidP="00662082">
            <w:pPr>
              <w:spacing w:line="276" w:lineRule="auto"/>
              <w:jc w:val="both"/>
              <w:rPr>
                <w:rFonts w:ascii="Arial" w:hAnsi="Arial" w:cs="Arial"/>
                <w:sz w:val="24"/>
                <w:lang w:val="es-ES_tradnl"/>
              </w:rPr>
            </w:pPr>
            <w:r>
              <w:rPr>
                <w:rFonts w:ascii="Arial" w:hAnsi="Arial" w:cs="Arial"/>
                <w:sz w:val="24"/>
              </w:rPr>
              <w:t>Relación directa y regular, demanda reconvencional de impugnación de paternidad (inseminación artificial) y alimentos menores.</w:t>
            </w:r>
          </w:p>
        </w:tc>
      </w:tr>
      <w:tr w:rsidR="002013F0" w:rsidRPr="002B0BCD" w14:paraId="74662758" w14:textId="77777777" w:rsidTr="000D7E24">
        <w:tc>
          <w:tcPr>
            <w:tcW w:w="4414" w:type="dxa"/>
          </w:tcPr>
          <w:p w14:paraId="23AE1C35" w14:textId="77777777" w:rsidR="002013F0" w:rsidRPr="002B0BCD" w:rsidRDefault="002013F0" w:rsidP="00662082">
            <w:pPr>
              <w:spacing w:line="276" w:lineRule="auto"/>
              <w:jc w:val="both"/>
              <w:rPr>
                <w:rFonts w:ascii="Arial" w:hAnsi="Arial" w:cs="Arial"/>
                <w:b/>
                <w:bCs/>
                <w:sz w:val="24"/>
                <w:lang w:val="es-ES_tradnl"/>
              </w:rPr>
            </w:pPr>
            <w:r w:rsidRPr="002B0BCD">
              <w:rPr>
                <w:rFonts w:ascii="Arial" w:hAnsi="Arial" w:cs="Arial"/>
                <w:b/>
                <w:bCs/>
                <w:sz w:val="24"/>
                <w:lang w:val="es-ES_tradnl"/>
              </w:rPr>
              <w:t>Resultado</w:t>
            </w:r>
          </w:p>
        </w:tc>
        <w:tc>
          <w:tcPr>
            <w:tcW w:w="4414" w:type="dxa"/>
          </w:tcPr>
          <w:p w14:paraId="697CD0E1" w14:textId="3E9CD793" w:rsidR="002013F0" w:rsidRPr="002B0BCD" w:rsidRDefault="002013F0" w:rsidP="00662082">
            <w:pPr>
              <w:spacing w:line="276" w:lineRule="auto"/>
              <w:jc w:val="both"/>
              <w:rPr>
                <w:rFonts w:ascii="Arial" w:hAnsi="Arial" w:cs="Arial"/>
                <w:sz w:val="24"/>
                <w:lang w:val="es-ES_tradnl"/>
              </w:rPr>
            </w:pPr>
            <w:r>
              <w:rPr>
                <w:rFonts w:ascii="Arial" w:hAnsi="Arial" w:cs="Arial"/>
                <w:sz w:val="24"/>
                <w:lang w:val="es-ES_tradnl"/>
              </w:rPr>
              <w:t>Se RECHAZA relación directa y regular y se ACOGE impugnación de paternidad</w:t>
            </w:r>
          </w:p>
        </w:tc>
      </w:tr>
      <w:tr w:rsidR="002013F0" w:rsidRPr="002B0BCD" w14:paraId="015A82FB" w14:textId="77777777" w:rsidTr="000D7E24">
        <w:tc>
          <w:tcPr>
            <w:tcW w:w="4414" w:type="dxa"/>
          </w:tcPr>
          <w:p w14:paraId="0E00527C" w14:textId="77777777" w:rsidR="002013F0" w:rsidRPr="002B0BCD" w:rsidRDefault="002013F0" w:rsidP="00662082">
            <w:pPr>
              <w:spacing w:line="276" w:lineRule="auto"/>
              <w:jc w:val="both"/>
              <w:rPr>
                <w:rFonts w:ascii="Arial" w:hAnsi="Arial" w:cs="Arial"/>
                <w:b/>
                <w:bCs/>
                <w:sz w:val="24"/>
                <w:lang w:val="es-ES_tradnl"/>
              </w:rPr>
            </w:pPr>
            <w:r w:rsidRPr="002B0BCD">
              <w:rPr>
                <w:rFonts w:ascii="Arial" w:hAnsi="Arial" w:cs="Arial"/>
                <w:b/>
                <w:bCs/>
                <w:sz w:val="24"/>
                <w:lang w:val="es-ES_tradnl"/>
              </w:rPr>
              <w:t>Caratulado</w:t>
            </w:r>
          </w:p>
        </w:tc>
        <w:tc>
          <w:tcPr>
            <w:tcW w:w="4414" w:type="dxa"/>
          </w:tcPr>
          <w:p w14:paraId="3D6907BC" w14:textId="77777777" w:rsidR="002013F0" w:rsidRPr="002B0BCD" w:rsidRDefault="002013F0" w:rsidP="00662082">
            <w:pPr>
              <w:spacing w:line="276" w:lineRule="auto"/>
              <w:jc w:val="both"/>
              <w:rPr>
                <w:rFonts w:ascii="Arial" w:hAnsi="Arial" w:cs="Arial"/>
                <w:sz w:val="24"/>
                <w:lang w:val="es-ES_tradnl"/>
              </w:rPr>
            </w:pPr>
            <w:r>
              <w:rPr>
                <w:rFonts w:ascii="Arial" w:hAnsi="Arial" w:cs="Arial"/>
                <w:sz w:val="24"/>
                <w:lang w:val="es-ES_tradnl"/>
              </w:rPr>
              <w:t>ANONIMIZADO</w:t>
            </w:r>
          </w:p>
        </w:tc>
      </w:tr>
    </w:tbl>
    <w:p w14:paraId="085F75D5" w14:textId="77777777" w:rsidR="002013F0" w:rsidRDefault="002013F0" w:rsidP="002013F0">
      <w:pPr>
        <w:pStyle w:val="Prrafodelista"/>
        <w:pBdr>
          <w:top w:val="nil"/>
          <w:left w:val="nil"/>
          <w:bottom w:val="nil"/>
          <w:right w:val="nil"/>
          <w:between w:val="nil"/>
        </w:pBdr>
        <w:spacing w:line="276" w:lineRule="auto"/>
        <w:ind w:left="1080"/>
        <w:jc w:val="center"/>
        <w:rPr>
          <w:rFonts w:ascii="Arial" w:eastAsia="Times New Roman" w:hAnsi="Arial" w:cs="Arial"/>
          <w:b/>
          <w:color w:val="000000"/>
          <w:sz w:val="24"/>
          <w:szCs w:val="24"/>
          <w:lang w:val="es-ES_tradnl"/>
        </w:rPr>
      </w:pPr>
    </w:p>
    <w:p w14:paraId="5B4515E0" w14:textId="2C5082DC" w:rsidR="002013F0" w:rsidRPr="00187ECC" w:rsidRDefault="002013F0" w:rsidP="002013F0">
      <w:pPr>
        <w:numPr>
          <w:ilvl w:val="0"/>
          <w:numId w:val="1"/>
        </w:numPr>
        <w:pBdr>
          <w:top w:val="nil"/>
          <w:left w:val="nil"/>
          <w:bottom w:val="nil"/>
          <w:right w:val="nil"/>
          <w:between w:val="nil"/>
        </w:pBdr>
        <w:spacing w:line="276" w:lineRule="auto"/>
        <w:rPr>
          <w:rFonts w:ascii="Arial" w:eastAsia="Times New Roman" w:hAnsi="Arial" w:cs="Arial"/>
          <w:b/>
          <w:color w:val="000000"/>
          <w:sz w:val="24"/>
          <w:szCs w:val="24"/>
        </w:rPr>
      </w:pPr>
      <w:r w:rsidRPr="00187ECC">
        <w:rPr>
          <w:rFonts w:ascii="Arial" w:eastAsia="Times New Roman" w:hAnsi="Arial" w:cs="Arial"/>
          <w:b/>
          <w:color w:val="000000"/>
          <w:sz w:val="24"/>
          <w:szCs w:val="24"/>
        </w:rPr>
        <w:t>RESUMEN</w:t>
      </w:r>
    </w:p>
    <w:p w14:paraId="04650CD1" w14:textId="5438D2A1" w:rsidR="002013F0" w:rsidRPr="00187ECC" w:rsidRDefault="002013F0" w:rsidP="002013F0">
      <w:pPr>
        <w:spacing w:line="276" w:lineRule="auto"/>
        <w:jc w:val="both"/>
        <w:rPr>
          <w:rFonts w:ascii="Arial" w:eastAsia="Times New Roman" w:hAnsi="Arial" w:cs="Arial"/>
          <w:sz w:val="24"/>
          <w:szCs w:val="24"/>
        </w:rPr>
      </w:pPr>
      <w:r w:rsidRPr="00187ECC">
        <w:rPr>
          <w:rFonts w:ascii="Arial" w:eastAsia="Times New Roman" w:hAnsi="Arial" w:cs="Arial"/>
          <w:sz w:val="24"/>
          <w:szCs w:val="24"/>
        </w:rPr>
        <w:t xml:space="preserve">Derechos vulnerados: </w:t>
      </w:r>
      <w:r w:rsidR="00552BC1">
        <w:rPr>
          <w:rFonts w:ascii="Arial" w:eastAsia="Times New Roman" w:hAnsi="Arial" w:cs="Arial"/>
          <w:sz w:val="24"/>
          <w:szCs w:val="24"/>
        </w:rPr>
        <w:t>Artículo 182 del Código Civil sobre filiación mediante técnicas de reproducción asist</w:t>
      </w:r>
      <w:r w:rsidR="000D7E24">
        <w:rPr>
          <w:rFonts w:ascii="Arial" w:eastAsia="Times New Roman" w:hAnsi="Arial" w:cs="Arial"/>
          <w:sz w:val="24"/>
          <w:szCs w:val="24"/>
        </w:rPr>
        <w:t>ida, interés superior del NNA, i</w:t>
      </w:r>
      <w:r w:rsidR="00552BC1">
        <w:rPr>
          <w:rFonts w:ascii="Arial" w:eastAsia="Times New Roman" w:hAnsi="Arial" w:cs="Arial"/>
          <w:sz w:val="24"/>
          <w:szCs w:val="24"/>
        </w:rPr>
        <w:t>ntegridad física y psíquica, relación directa y regular</w:t>
      </w:r>
      <w:r w:rsidR="000D7E24">
        <w:rPr>
          <w:rFonts w:ascii="Arial" w:eastAsia="Times New Roman" w:hAnsi="Arial" w:cs="Arial"/>
          <w:sz w:val="24"/>
          <w:szCs w:val="24"/>
        </w:rPr>
        <w:t>, d</w:t>
      </w:r>
      <w:r w:rsidR="0020581F">
        <w:rPr>
          <w:rFonts w:ascii="Arial" w:eastAsia="Times New Roman" w:hAnsi="Arial" w:cs="Arial"/>
          <w:sz w:val="24"/>
          <w:szCs w:val="24"/>
        </w:rPr>
        <w:t>erecho a formar familia</w:t>
      </w:r>
      <w:r w:rsidR="00552BC1">
        <w:rPr>
          <w:rFonts w:ascii="Arial" w:eastAsia="Times New Roman" w:hAnsi="Arial" w:cs="Arial"/>
          <w:sz w:val="24"/>
          <w:szCs w:val="24"/>
        </w:rPr>
        <w:t>.</w:t>
      </w:r>
    </w:p>
    <w:p w14:paraId="56D065B6" w14:textId="3C25CA9A" w:rsidR="004439FA" w:rsidRDefault="00552BC1" w:rsidP="002013F0">
      <w:pPr>
        <w:spacing w:line="276" w:lineRule="auto"/>
        <w:jc w:val="both"/>
        <w:rPr>
          <w:rFonts w:ascii="Arial" w:eastAsia="Times New Roman" w:hAnsi="Arial" w:cs="Arial"/>
          <w:sz w:val="24"/>
          <w:szCs w:val="24"/>
        </w:rPr>
      </w:pPr>
      <w:bookmarkStart w:id="0" w:name="_GoBack"/>
      <w:r>
        <w:rPr>
          <w:rFonts w:ascii="Arial" w:eastAsia="Times New Roman" w:hAnsi="Arial" w:cs="Arial"/>
          <w:sz w:val="24"/>
          <w:szCs w:val="24"/>
        </w:rPr>
        <w:t xml:space="preserve">La sentencia rechaza </w:t>
      </w:r>
      <w:r w:rsidR="000D7E24">
        <w:rPr>
          <w:rFonts w:ascii="Arial" w:eastAsia="Times New Roman" w:hAnsi="Arial" w:cs="Arial"/>
          <w:sz w:val="24"/>
          <w:szCs w:val="24"/>
        </w:rPr>
        <w:t xml:space="preserve">la </w:t>
      </w:r>
      <w:r>
        <w:rPr>
          <w:rFonts w:ascii="Arial" w:eastAsia="Times New Roman" w:hAnsi="Arial" w:cs="Arial"/>
          <w:sz w:val="24"/>
          <w:szCs w:val="24"/>
        </w:rPr>
        <w:t xml:space="preserve">demanda de relación directa y regular interpuesta por el padre </w:t>
      </w:r>
      <w:r w:rsidR="004439FA">
        <w:rPr>
          <w:rFonts w:ascii="Arial" w:eastAsia="Times New Roman" w:hAnsi="Arial" w:cs="Arial"/>
          <w:sz w:val="24"/>
          <w:szCs w:val="24"/>
        </w:rPr>
        <w:t xml:space="preserve">de </w:t>
      </w:r>
      <w:r>
        <w:rPr>
          <w:rFonts w:ascii="Arial" w:eastAsia="Times New Roman" w:hAnsi="Arial" w:cs="Arial"/>
          <w:sz w:val="24"/>
          <w:szCs w:val="24"/>
        </w:rPr>
        <w:t xml:space="preserve">un niño de 10 meses de edad quien habría nacido producto de una </w:t>
      </w:r>
      <w:r w:rsidR="00E15304">
        <w:rPr>
          <w:rFonts w:ascii="Arial" w:eastAsia="Times New Roman" w:hAnsi="Arial" w:cs="Arial"/>
          <w:sz w:val="24"/>
          <w:szCs w:val="24"/>
        </w:rPr>
        <w:t>donación de esperma del demandante a</w:t>
      </w:r>
      <w:r>
        <w:rPr>
          <w:rFonts w:ascii="Arial" w:eastAsia="Times New Roman" w:hAnsi="Arial" w:cs="Arial"/>
          <w:sz w:val="24"/>
          <w:szCs w:val="24"/>
        </w:rPr>
        <w:t xml:space="preserve"> demandada, </w:t>
      </w:r>
      <w:r w:rsidR="00E15304">
        <w:rPr>
          <w:rFonts w:ascii="Arial" w:eastAsia="Times New Roman" w:hAnsi="Arial" w:cs="Arial"/>
          <w:sz w:val="24"/>
          <w:szCs w:val="24"/>
        </w:rPr>
        <w:t xml:space="preserve">con el fin que ésta </w:t>
      </w:r>
      <w:r>
        <w:rPr>
          <w:rFonts w:ascii="Arial" w:eastAsia="Times New Roman" w:hAnsi="Arial" w:cs="Arial"/>
          <w:sz w:val="24"/>
          <w:szCs w:val="24"/>
        </w:rPr>
        <w:t xml:space="preserve">pudiera ser madre junto con su pareja, también mujer. </w:t>
      </w:r>
      <w:bookmarkEnd w:id="0"/>
      <w:r>
        <w:rPr>
          <w:rFonts w:ascii="Arial" w:eastAsia="Times New Roman" w:hAnsi="Arial" w:cs="Arial"/>
          <w:sz w:val="24"/>
          <w:szCs w:val="24"/>
        </w:rPr>
        <w:t>En dicho procedimiento se</w:t>
      </w:r>
      <w:r w:rsidR="00AA54FD">
        <w:rPr>
          <w:rFonts w:ascii="Arial" w:eastAsia="Times New Roman" w:hAnsi="Arial" w:cs="Arial"/>
          <w:sz w:val="24"/>
          <w:szCs w:val="24"/>
        </w:rPr>
        <w:t xml:space="preserve"> acogió</w:t>
      </w:r>
      <w:r>
        <w:rPr>
          <w:rFonts w:ascii="Arial" w:eastAsia="Times New Roman" w:hAnsi="Arial" w:cs="Arial"/>
          <w:sz w:val="24"/>
          <w:szCs w:val="24"/>
        </w:rPr>
        <w:t xml:space="preserve"> </w:t>
      </w:r>
      <w:r w:rsidR="00AA54FD">
        <w:rPr>
          <w:rFonts w:ascii="Arial" w:eastAsia="Times New Roman" w:hAnsi="Arial" w:cs="Arial"/>
          <w:sz w:val="24"/>
          <w:szCs w:val="24"/>
        </w:rPr>
        <w:t>demanda reconvencional interpuesta por parte de la demandada, señalando que el demandante solamente habría actuado como donante de esperma anónimo para la realización de una inseminación artificial, acordando siempre que el donante no formaría parte de la vida del potencial hijo, el cual, al nacer, no pudo ser inscrito como parte de la filiación materna de ambas madres, siendo posteriormente reconocido, de forma unilateral y sin previo aviso, por parte del donante en el Registro Civil, ante lo cual solicita la relación directa y regula</w:t>
      </w:r>
      <w:r w:rsidR="004439FA">
        <w:rPr>
          <w:rFonts w:ascii="Arial" w:eastAsia="Times New Roman" w:hAnsi="Arial" w:cs="Arial"/>
          <w:sz w:val="24"/>
          <w:szCs w:val="24"/>
        </w:rPr>
        <w:t xml:space="preserve">r. </w:t>
      </w:r>
    </w:p>
    <w:p w14:paraId="634E7B4D" w14:textId="6C594CDF" w:rsidR="00552BC1" w:rsidRDefault="004439FA" w:rsidP="002013F0">
      <w:pPr>
        <w:spacing w:line="276" w:lineRule="auto"/>
        <w:jc w:val="both"/>
        <w:rPr>
          <w:rFonts w:ascii="Arial" w:eastAsia="Times New Roman" w:hAnsi="Arial" w:cs="Arial"/>
          <w:sz w:val="24"/>
          <w:szCs w:val="24"/>
        </w:rPr>
      </w:pPr>
      <w:r>
        <w:rPr>
          <w:rFonts w:ascii="Arial" w:eastAsia="Times New Roman" w:hAnsi="Arial" w:cs="Arial"/>
          <w:sz w:val="24"/>
          <w:szCs w:val="24"/>
        </w:rPr>
        <w:t>Por ello el Tribunal efectúa</w:t>
      </w:r>
      <w:r w:rsidR="00AA54FD">
        <w:rPr>
          <w:rFonts w:ascii="Arial" w:eastAsia="Times New Roman" w:hAnsi="Arial" w:cs="Arial"/>
          <w:sz w:val="24"/>
          <w:szCs w:val="24"/>
        </w:rPr>
        <w:t xml:space="preserve"> un análisis sistemático sobre las normas que regulan las técnicas de reproducción asistida</w:t>
      </w:r>
      <w:r w:rsidR="0020581F">
        <w:rPr>
          <w:rFonts w:ascii="Arial" w:eastAsia="Times New Roman" w:hAnsi="Arial" w:cs="Arial"/>
          <w:sz w:val="24"/>
          <w:szCs w:val="24"/>
        </w:rPr>
        <w:t xml:space="preserve"> contenidas en el artículo 182 </w:t>
      </w:r>
      <w:r>
        <w:rPr>
          <w:rFonts w:ascii="Arial" w:eastAsia="Times New Roman" w:hAnsi="Arial" w:cs="Arial"/>
          <w:sz w:val="24"/>
          <w:szCs w:val="24"/>
        </w:rPr>
        <w:t>del Código Civil, el d</w:t>
      </w:r>
      <w:r w:rsidR="0020581F">
        <w:rPr>
          <w:rFonts w:ascii="Arial" w:eastAsia="Times New Roman" w:hAnsi="Arial" w:cs="Arial"/>
          <w:sz w:val="24"/>
          <w:szCs w:val="24"/>
        </w:rPr>
        <w:t>erecho a formar una familia, contenido indirectamente en el artículo 1 de la Constitución y</w:t>
      </w:r>
      <w:r>
        <w:rPr>
          <w:rFonts w:ascii="Arial" w:eastAsia="Times New Roman" w:hAnsi="Arial" w:cs="Arial"/>
          <w:sz w:val="24"/>
          <w:szCs w:val="24"/>
        </w:rPr>
        <w:t xml:space="preserve"> en</w:t>
      </w:r>
      <w:r w:rsidR="0020581F">
        <w:rPr>
          <w:rFonts w:ascii="Arial" w:eastAsia="Times New Roman" w:hAnsi="Arial" w:cs="Arial"/>
          <w:sz w:val="24"/>
          <w:szCs w:val="24"/>
        </w:rPr>
        <w:t xml:space="preserve"> el preámbulo de la Convención de</w:t>
      </w:r>
      <w:r>
        <w:rPr>
          <w:rFonts w:ascii="Arial" w:eastAsia="Times New Roman" w:hAnsi="Arial" w:cs="Arial"/>
          <w:sz w:val="24"/>
          <w:szCs w:val="24"/>
        </w:rPr>
        <w:t xml:space="preserve"> los</w:t>
      </w:r>
      <w:r w:rsidR="0020581F">
        <w:rPr>
          <w:rFonts w:ascii="Arial" w:eastAsia="Times New Roman" w:hAnsi="Arial" w:cs="Arial"/>
          <w:sz w:val="24"/>
          <w:szCs w:val="24"/>
        </w:rPr>
        <w:t xml:space="preserve"> Derechos del Niño </w:t>
      </w:r>
      <w:r w:rsidR="00AA54FD">
        <w:rPr>
          <w:rFonts w:ascii="Arial" w:eastAsia="Times New Roman" w:hAnsi="Arial" w:cs="Arial"/>
          <w:sz w:val="24"/>
          <w:szCs w:val="24"/>
        </w:rPr>
        <w:t xml:space="preserve">y el interés superior del </w:t>
      </w:r>
      <w:r w:rsidR="00AA54FD">
        <w:rPr>
          <w:rFonts w:ascii="Arial" w:eastAsia="Times New Roman" w:hAnsi="Arial" w:cs="Arial"/>
          <w:sz w:val="24"/>
          <w:szCs w:val="24"/>
        </w:rPr>
        <w:lastRenderedPageBreak/>
        <w:t xml:space="preserve">niño </w:t>
      </w:r>
      <w:r w:rsidR="0020581F">
        <w:rPr>
          <w:rFonts w:ascii="Arial" w:eastAsia="Times New Roman" w:hAnsi="Arial" w:cs="Arial"/>
          <w:sz w:val="24"/>
          <w:szCs w:val="24"/>
        </w:rPr>
        <w:t>consagrado por el artículo 3.1 de dicha Convención, los que se incorporan a nuestro ordenamiento jurídico por el artículo 5° inciso 2° de la Constitución.</w:t>
      </w:r>
    </w:p>
    <w:p w14:paraId="056C0E30" w14:textId="77777777" w:rsidR="002013F0" w:rsidRPr="00187ECC" w:rsidRDefault="002013F0" w:rsidP="002013F0">
      <w:pPr>
        <w:numPr>
          <w:ilvl w:val="0"/>
          <w:numId w:val="1"/>
        </w:numPr>
        <w:pBdr>
          <w:top w:val="nil"/>
          <w:left w:val="nil"/>
          <w:bottom w:val="nil"/>
          <w:right w:val="nil"/>
          <w:between w:val="nil"/>
        </w:pBdr>
        <w:spacing w:line="276" w:lineRule="auto"/>
        <w:rPr>
          <w:rFonts w:ascii="Arial" w:eastAsia="Times New Roman" w:hAnsi="Arial" w:cs="Arial"/>
          <w:b/>
          <w:color w:val="000000"/>
          <w:sz w:val="24"/>
          <w:szCs w:val="24"/>
        </w:rPr>
      </w:pPr>
      <w:r w:rsidRPr="00187ECC">
        <w:rPr>
          <w:rFonts w:ascii="Arial" w:eastAsia="Times New Roman" w:hAnsi="Arial" w:cs="Arial"/>
          <w:b/>
          <w:color w:val="000000"/>
          <w:sz w:val="24"/>
          <w:szCs w:val="24"/>
        </w:rPr>
        <w:t>HECHOS</w:t>
      </w:r>
    </w:p>
    <w:p w14:paraId="2659CFCD" w14:textId="58393190" w:rsidR="0020581F" w:rsidRDefault="0020581F" w:rsidP="002013F0">
      <w:pPr>
        <w:spacing w:line="276" w:lineRule="auto"/>
        <w:jc w:val="both"/>
        <w:rPr>
          <w:rFonts w:ascii="Arial" w:eastAsia="Times New Roman" w:hAnsi="Arial" w:cs="Arial"/>
          <w:sz w:val="24"/>
          <w:szCs w:val="24"/>
        </w:rPr>
      </w:pPr>
      <w:r>
        <w:rPr>
          <w:rFonts w:ascii="Arial" w:eastAsia="Times New Roman" w:hAnsi="Arial" w:cs="Arial"/>
          <w:sz w:val="24"/>
          <w:szCs w:val="24"/>
        </w:rPr>
        <w:t xml:space="preserve">Con fecha 11 de noviembre de 2019 se presentó demanda de relación directa y regular por el padre de un niño de 10 meses de edad argumentando que </w:t>
      </w:r>
      <w:r w:rsidR="0027290F">
        <w:rPr>
          <w:rFonts w:ascii="Arial" w:eastAsia="Times New Roman" w:hAnsi="Arial" w:cs="Arial"/>
          <w:sz w:val="24"/>
          <w:szCs w:val="24"/>
        </w:rPr>
        <w:t>conoció a la demandada y la pareja de esta (también mujer) ya que</w:t>
      </w:r>
      <w:r>
        <w:rPr>
          <w:rFonts w:ascii="Arial" w:eastAsia="Times New Roman" w:hAnsi="Arial" w:cs="Arial"/>
          <w:sz w:val="24"/>
          <w:szCs w:val="24"/>
        </w:rPr>
        <w:t xml:space="preserve"> eran amigos y vivían en la misma residencia</w:t>
      </w:r>
      <w:r w:rsidR="0027290F">
        <w:rPr>
          <w:rFonts w:ascii="Arial" w:eastAsia="Times New Roman" w:hAnsi="Arial" w:cs="Arial"/>
          <w:sz w:val="24"/>
          <w:szCs w:val="24"/>
        </w:rPr>
        <w:t>. En este escenario, ambas mujeres</w:t>
      </w:r>
      <w:r>
        <w:rPr>
          <w:rFonts w:ascii="Arial" w:eastAsia="Times New Roman" w:hAnsi="Arial" w:cs="Arial"/>
          <w:sz w:val="24"/>
          <w:szCs w:val="24"/>
        </w:rPr>
        <w:t xml:space="preserve"> le propusieron que querían ser madres</w:t>
      </w:r>
      <w:r w:rsidR="0027290F">
        <w:rPr>
          <w:rFonts w:ascii="Arial" w:eastAsia="Times New Roman" w:hAnsi="Arial" w:cs="Arial"/>
          <w:sz w:val="24"/>
          <w:szCs w:val="24"/>
        </w:rPr>
        <w:t xml:space="preserve"> por lo cual solicitaban de su ayuda, ante lo que el demandante se negó, accediendo posteriormente. Así, señala que la demandada quedó embarazada y que con el nacimiento del niño se generó una conexión entre ambos por lo que quería acercarse a él, reconociendo al niño en el Registro Civil, lo cual lo amparaba para solicitar el régimen de relación directa y regular.</w:t>
      </w:r>
    </w:p>
    <w:p w14:paraId="79BBE8A8" w14:textId="521BD1B6" w:rsidR="0027290F" w:rsidRDefault="0027290F" w:rsidP="002013F0">
      <w:pPr>
        <w:spacing w:line="276" w:lineRule="auto"/>
        <w:jc w:val="both"/>
        <w:rPr>
          <w:rFonts w:ascii="Arial" w:eastAsia="Times New Roman" w:hAnsi="Arial" w:cs="Arial"/>
          <w:sz w:val="24"/>
          <w:szCs w:val="24"/>
        </w:rPr>
      </w:pPr>
      <w:r>
        <w:rPr>
          <w:rFonts w:ascii="Arial" w:eastAsia="Times New Roman" w:hAnsi="Arial" w:cs="Arial"/>
          <w:sz w:val="24"/>
          <w:szCs w:val="24"/>
        </w:rPr>
        <w:t>Ante esto, la demandada interpuso demanda reconvencional señalando que desde el 30 de julio de 2015 mantiene una relación de convivencia con su pareja, compartiendo un proyecto de vida en común, naciendo en ambas el deseo de tener un hijo. Así, idearon la posibilidad de realizar una in</w:t>
      </w:r>
      <w:r w:rsidR="004439FA">
        <w:rPr>
          <w:rFonts w:ascii="Arial" w:eastAsia="Times New Roman" w:hAnsi="Arial" w:cs="Arial"/>
          <w:sz w:val="24"/>
          <w:szCs w:val="24"/>
        </w:rPr>
        <w:t>seminación</w:t>
      </w:r>
      <w:r>
        <w:rPr>
          <w:rFonts w:ascii="Arial" w:eastAsia="Times New Roman" w:hAnsi="Arial" w:cs="Arial"/>
          <w:sz w:val="24"/>
          <w:szCs w:val="24"/>
        </w:rPr>
        <w:t xml:space="preserve"> artificial mediante la colaboración de un donante anónimo </w:t>
      </w:r>
      <w:r w:rsidR="004439FA">
        <w:rPr>
          <w:rFonts w:ascii="Arial" w:eastAsia="Times New Roman" w:hAnsi="Arial" w:cs="Arial"/>
          <w:sz w:val="24"/>
          <w:szCs w:val="24"/>
        </w:rPr>
        <w:t>a través de</w:t>
      </w:r>
      <w:r>
        <w:rPr>
          <w:rFonts w:ascii="Arial" w:eastAsia="Times New Roman" w:hAnsi="Arial" w:cs="Arial"/>
          <w:sz w:val="24"/>
          <w:szCs w:val="24"/>
        </w:rPr>
        <w:t xml:space="preserve"> la entrega de su líquido seminal en un frasco cerrado, lo que se verificó en abril de 2018.</w:t>
      </w:r>
    </w:p>
    <w:p w14:paraId="1696270E" w14:textId="06340264" w:rsidR="0027290F" w:rsidRDefault="0027290F" w:rsidP="002013F0">
      <w:pPr>
        <w:spacing w:line="276" w:lineRule="auto"/>
        <w:jc w:val="both"/>
        <w:rPr>
          <w:rFonts w:ascii="Arial" w:eastAsia="Times New Roman" w:hAnsi="Arial" w:cs="Arial"/>
          <w:sz w:val="24"/>
          <w:szCs w:val="24"/>
        </w:rPr>
      </w:pPr>
      <w:r>
        <w:rPr>
          <w:rFonts w:ascii="Arial" w:eastAsia="Times New Roman" w:hAnsi="Arial" w:cs="Arial"/>
          <w:sz w:val="24"/>
          <w:szCs w:val="24"/>
        </w:rPr>
        <w:t>Agregan que a dicho donante le establecieron claramente las condiciones de la donación, señalando que en ningún caso él formaría parte de la vida del niño</w:t>
      </w:r>
      <w:r w:rsidR="00187809">
        <w:rPr>
          <w:rFonts w:ascii="Arial" w:eastAsia="Times New Roman" w:hAnsi="Arial" w:cs="Arial"/>
          <w:sz w:val="24"/>
          <w:szCs w:val="24"/>
        </w:rPr>
        <w:t>, sin embargo en marzo de 2019, una vez que el niño ya había nacido, el demandante se les acercó a decir que había reconocido al niño en el Registro Civil, manteniendo intenciones de conocerlo, iniciando un proceso de mediación y luego de demanda.</w:t>
      </w:r>
    </w:p>
    <w:p w14:paraId="2B74BF2D" w14:textId="36CDAFA3" w:rsidR="002013F0" w:rsidRPr="00187ECC" w:rsidRDefault="00187809" w:rsidP="002013F0">
      <w:pPr>
        <w:spacing w:line="276" w:lineRule="auto"/>
        <w:jc w:val="both"/>
        <w:rPr>
          <w:rFonts w:ascii="Arial" w:eastAsia="Times New Roman" w:hAnsi="Arial" w:cs="Arial"/>
          <w:sz w:val="24"/>
          <w:szCs w:val="24"/>
        </w:rPr>
      </w:pPr>
      <w:r>
        <w:rPr>
          <w:rFonts w:ascii="Arial" w:eastAsia="Times New Roman" w:hAnsi="Arial" w:cs="Arial"/>
          <w:sz w:val="24"/>
          <w:szCs w:val="24"/>
        </w:rPr>
        <w:t xml:space="preserve">Así, se solicita el rechazo de la demanda de relación directa y regular y que se acoja demanda de impugnación de paternidad en aras del resguardo del interés superior del </w:t>
      </w:r>
      <w:r w:rsidR="004439FA">
        <w:rPr>
          <w:rFonts w:ascii="Arial" w:eastAsia="Times New Roman" w:hAnsi="Arial" w:cs="Arial"/>
          <w:sz w:val="24"/>
          <w:szCs w:val="24"/>
        </w:rPr>
        <w:t>niño</w:t>
      </w:r>
      <w:r>
        <w:rPr>
          <w:rFonts w:ascii="Arial" w:eastAsia="Times New Roman" w:hAnsi="Arial" w:cs="Arial"/>
          <w:sz w:val="24"/>
          <w:szCs w:val="24"/>
        </w:rPr>
        <w:t xml:space="preserve"> y de lo establecido en el artículo 182 del Código Civil sobre técnicas de reproducción asistida o que, en subsidio, se fijen alimentos menores respecto del niño.</w:t>
      </w:r>
    </w:p>
    <w:p w14:paraId="38D6EADA" w14:textId="77777777" w:rsidR="002013F0" w:rsidRPr="00187ECC" w:rsidRDefault="002013F0" w:rsidP="002013F0">
      <w:pPr>
        <w:numPr>
          <w:ilvl w:val="0"/>
          <w:numId w:val="1"/>
        </w:numPr>
        <w:pBdr>
          <w:top w:val="nil"/>
          <w:left w:val="nil"/>
          <w:bottom w:val="nil"/>
          <w:right w:val="nil"/>
          <w:between w:val="nil"/>
        </w:pBdr>
        <w:spacing w:line="276" w:lineRule="auto"/>
        <w:jc w:val="both"/>
        <w:rPr>
          <w:rFonts w:ascii="Arial" w:eastAsia="Times New Roman" w:hAnsi="Arial" w:cs="Arial"/>
          <w:b/>
          <w:color w:val="000000"/>
          <w:sz w:val="24"/>
          <w:szCs w:val="24"/>
        </w:rPr>
      </w:pPr>
      <w:r w:rsidRPr="00187ECC">
        <w:rPr>
          <w:rFonts w:ascii="Arial" w:eastAsia="Times New Roman" w:hAnsi="Arial" w:cs="Arial"/>
          <w:b/>
          <w:color w:val="000000"/>
          <w:sz w:val="24"/>
          <w:szCs w:val="24"/>
        </w:rPr>
        <w:t>DERECHO</w:t>
      </w:r>
    </w:p>
    <w:p w14:paraId="4F10CE4D" w14:textId="24F8C428" w:rsidR="00F20E51" w:rsidRDefault="00F20E51" w:rsidP="002013F0">
      <w:pPr>
        <w:jc w:val="both"/>
        <w:rPr>
          <w:rFonts w:ascii="Arial" w:eastAsia="Times New Roman" w:hAnsi="Arial" w:cs="Arial"/>
          <w:sz w:val="24"/>
          <w:szCs w:val="24"/>
        </w:rPr>
      </w:pPr>
      <w:r>
        <w:rPr>
          <w:rFonts w:ascii="Arial" w:eastAsia="Times New Roman" w:hAnsi="Arial" w:cs="Arial"/>
          <w:sz w:val="24"/>
          <w:szCs w:val="24"/>
        </w:rPr>
        <w:t xml:space="preserve">En el caso, atendiendo a la incompatibilidad de las acciones deducidas tanto por el demandante principal como por la demandante reconvencional, el Tribunal estimó por referirse primeramente a la acción de impugnación de paternidad planteada, intentando determinar si era efectivo que el niño había sido concebido mediante técnicas de reproducción asistida y el contexto en que esta se empleó, </w:t>
      </w:r>
      <w:r w:rsidR="004439FA">
        <w:rPr>
          <w:rFonts w:ascii="Arial" w:eastAsia="Times New Roman" w:hAnsi="Arial" w:cs="Arial"/>
          <w:sz w:val="24"/>
          <w:szCs w:val="24"/>
        </w:rPr>
        <w:t xml:space="preserve">así como </w:t>
      </w:r>
      <w:r>
        <w:rPr>
          <w:rFonts w:ascii="Arial" w:eastAsia="Times New Roman" w:hAnsi="Arial" w:cs="Arial"/>
          <w:sz w:val="24"/>
          <w:szCs w:val="24"/>
        </w:rPr>
        <w:t xml:space="preserve">determinar la efectividad de que el demandante concurrió como donante anónimo y las condiciones </w:t>
      </w:r>
      <w:r>
        <w:rPr>
          <w:rFonts w:ascii="Arial" w:eastAsia="Times New Roman" w:hAnsi="Arial" w:cs="Arial"/>
          <w:sz w:val="24"/>
          <w:szCs w:val="24"/>
        </w:rPr>
        <w:lastRenderedPageBreak/>
        <w:t xml:space="preserve">pactadas contractualmente en dicho proceso, </w:t>
      </w:r>
      <w:r w:rsidR="004439FA">
        <w:rPr>
          <w:rFonts w:ascii="Arial" w:eastAsia="Times New Roman" w:hAnsi="Arial" w:cs="Arial"/>
          <w:sz w:val="24"/>
          <w:szCs w:val="24"/>
        </w:rPr>
        <w:t xml:space="preserve">adicionalmente, </w:t>
      </w:r>
      <w:r>
        <w:rPr>
          <w:rFonts w:ascii="Arial" w:eastAsia="Times New Roman" w:hAnsi="Arial" w:cs="Arial"/>
          <w:sz w:val="24"/>
          <w:szCs w:val="24"/>
        </w:rPr>
        <w:t>la efectividad de la existencia de un vínculo biológico entre el niño y el demandante y la existencia de un acto de reconocimiento en el Registro Civil por parte del demandante respecto del niño.</w:t>
      </w:r>
    </w:p>
    <w:p w14:paraId="2820B42A" w14:textId="782E3687" w:rsidR="001C300F" w:rsidRDefault="001C300F" w:rsidP="002013F0">
      <w:pPr>
        <w:jc w:val="both"/>
        <w:rPr>
          <w:rFonts w:ascii="Arial" w:eastAsia="Times New Roman" w:hAnsi="Arial" w:cs="Arial"/>
          <w:sz w:val="24"/>
          <w:szCs w:val="24"/>
        </w:rPr>
      </w:pPr>
      <w:r>
        <w:rPr>
          <w:rFonts w:ascii="Arial" w:eastAsia="Times New Roman" w:hAnsi="Arial" w:cs="Arial"/>
          <w:sz w:val="24"/>
          <w:szCs w:val="24"/>
        </w:rPr>
        <w:t xml:space="preserve">Sobre estos puntos, versa en el caso que las declaraciones y prueba rendida indican que el demandante concurrió como donante, entregando material genético (semen) a la </w:t>
      </w:r>
      <w:r w:rsidR="005E6A96">
        <w:rPr>
          <w:rFonts w:ascii="Arial" w:eastAsia="Times New Roman" w:hAnsi="Arial" w:cs="Arial"/>
          <w:sz w:val="24"/>
          <w:szCs w:val="24"/>
        </w:rPr>
        <w:t>demandada y a su pareja</w:t>
      </w:r>
      <w:r>
        <w:rPr>
          <w:rFonts w:ascii="Arial" w:eastAsia="Times New Roman" w:hAnsi="Arial" w:cs="Arial"/>
          <w:sz w:val="24"/>
          <w:szCs w:val="24"/>
        </w:rPr>
        <w:t xml:space="preserve"> con el cual </w:t>
      </w:r>
      <w:r w:rsidR="005E6A96">
        <w:rPr>
          <w:rFonts w:ascii="Arial" w:eastAsia="Times New Roman" w:hAnsi="Arial" w:cs="Arial"/>
          <w:sz w:val="24"/>
          <w:szCs w:val="24"/>
        </w:rPr>
        <w:t xml:space="preserve">ellas </w:t>
      </w:r>
      <w:r>
        <w:rPr>
          <w:rFonts w:ascii="Arial" w:eastAsia="Times New Roman" w:hAnsi="Arial" w:cs="Arial"/>
          <w:sz w:val="24"/>
          <w:szCs w:val="24"/>
        </w:rPr>
        <w:t xml:space="preserve">practicaron una </w:t>
      </w:r>
      <w:r w:rsidR="005E6A96">
        <w:rPr>
          <w:rFonts w:ascii="Arial" w:eastAsia="Times New Roman" w:hAnsi="Arial" w:cs="Arial"/>
          <w:sz w:val="24"/>
          <w:szCs w:val="24"/>
        </w:rPr>
        <w:t>inseminación</w:t>
      </w:r>
      <w:r>
        <w:rPr>
          <w:rFonts w:ascii="Arial" w:eastAsia="Times New Roman" w:hAnsi="Arial" w:cs="Arial"/>
          <w:sz w:val="24"/>
          <w:szCs w:val="24"/>
        </w:rPr>
        <w:t xml:space="preserve"> artificial de carácter “artesanal”, sin supervisión médica</w:t>
      </w:r>
      <w:r w:rsidR="005E6A96">
        <w:rPr>
          <w:rFonts w:ascii="Arial" w:eastAsia="Times New Roman" w:hAnsi="Arial" w:cs="Arial"/>
          <w:sz w:val="24"/>
          <w:szCs w:val="24"/>
        </w:rPr>
        <w:t>, de la cual habría resultado un embarazo, comprobando por las pericias del Servicio Médico Legal que el “donante” era el padre biológico del niño.</w:t>
      </w:r>
    </w:p>
    <w:p w14:paraId="4EC1DA4B" w14:textId="19D9A49A" w:rsidR="00576890" w:rsidRDefault="004439FA" w:rsidP="002013F0">
      <w:pPr>
        <w:jc w:val="both"/>
        <w:rPr>
          <w:rFonts w:ascii="Arial" w:eastAsia="Times New Roman" w:hAnsi="Arial" w:cs="Arial"/>
          <w:sz w:val="24"/>
          <w:szCs w:val="24"/>
        </w:rPr>
      </w:pPr>
      <w:r>
        <w:rPr>
          <w:rFonts w:ascii="Arial" w:eastAsia="Times New Roman" w:hAnsi="Arial" w:cs="Arial"/>
          <w:sz w:val="24"/>
          <w:szCs w:val="24"/>
        </w:rPr>
        <w:t>Sobre el punto</w:t>
      </w:r>
      <w:r w:rsidR="005E6A96">
        <w:rPr>
          <w:rFonts w:ascii="Arial" w:eastAsia="Times New Roman" w:hAnsi="Arial" w:cs="Arial"/>
          <w:sz w:val="24"/>
          <w:szCs w:val="24"/>
        </w:rPr>
        <w:t xml:space="preserve">, nuestro ordenamiento distingue la filiación según su naturaleza, ya sea adoptiva (regida por la ley N°18.620) o por naturaleza propiamente tal (regida por las disposiciones del Código Civil). En este escenario, la prueba del estado civil, según reseña el artículo 305 el Código, </w:t>
      </w:r>
      <w:r w:rsidR="00576890">
        <w:rPr>
          <w:rFonts w:ascii="Arial" w:eastAsia="Times New Roman" w:hAnsi="Arial" w:cs="Arial"/>
          <w:sz w:val="24"/>
          <w:szCs w:val="24"/>
        </w:rPr>
        <w:t xml:space="preserve">se gesta con la partida respectiva del Registro Civil en que conste el reconocimiento o la sentencia que reconoce la paternidad, siendo excepción los casos de NNA concebidos mediante técnicas de reproducción asistida reconocidas en nuestro ordenamiento a partir de la Ley N° 19.585 que modificó el Código Civil </w:t>
      </w:r>
      <w:r>
        <w:rPr>
          <w:rFonts w:ascii="Arial" w:eastAsia="Times New Roman" w:hAnsi="Arial" w:cs="Arial"/>
          <w:sz w:val="24"/>
          <w:szCs w:val="24"/>
        </w:rPr>
        <w:t>incorporando el artículo 182</w:t>
      </w:r>
      <w:r w:rsidR="00EB38C1">
        <w:rPr>
          <w:rFonts w:ascii="Arial" w:eastAsia="Times New Roman" w:hAnsi="Arial" w:cs="Arial"/>
          <w:sz w:val="24"/>
          <w:szCs w:val="24"/>
        </w:rPr>
        <w:t>.</w:t>
      </w:r>
    </w:p>
    <w:p w14:paraId="38D89C68" w14:textId="26C4A0CD" w:rsidR="00EB38C1" w:rsidRDefault="00EB38C1" w:rsidP="002013F0">
      <w:pPr>
        <w:jc w:val="both"/>
        <w:rPr>
          <w:rFonts w:ascii="Arial" w:eastAsia="Times New Roman" w:hAnsi="Arial" w:cs="Arial"/>
          <w:sz w:val="24"/>
          <w:szCs w:val="24"/>
        </w:rPr>
      </w:pPr>
      <w:r>
        <w:rPr>
          <w:rFonts w:ascii="Arial" w:eastAsia="Times New Roman" w:hAnsi="Arial" w:cs="Arial"/>
          <w:sz w:val="24"/>
          <w:szCs w:val="24"/>
        </w:rPr>
        <w:t xml:space="preserve">De un análisis de la Historia Fidedigna del Establecimiento de la Ley se desprende que estas figuras solo fueron pensadas, conforme a la Resolución Exenta N°1072 de 1995 del Ministerio de Salud, para parejas matrimonios o parejas estables comprendidas por un hombre y una mujer, no obstante, lo primordial se observa en atender a que la donación de gametos no genera ningún derecho al donante (ni siquiera el parentesco) y que se da aplicación al denominado </w:t>
      </w:r>
      <w:r w:rsidRPr="008D0497">
        <w:rPr>
          <w:rFonts w:ascii="Arial" w:eastAsia="Times New Roman" w:hAnsi="Arial" w:cs="Arial"/>
          <w:b/>
          <w:sz w:val="24"/>
          <w:szCs w:val="24"/>
        </w:rPr>
        <w:t>principio de la recepción</w:t>
      </w:r>
      <w:r>
        <w:rPr>
          <w:rFonts w:ascii="Arial" w:eastAsia="Times New Roman" w:hAnsi="Arial" w:cs="Arial"/>
          <w:sz w:val="24"/>
          <w:szCs w:val="24"/>
        </w:rPr>
        <w:t>, donde se considera padre y madre a aquellos que recibieron la donación y no al donante. En el mismo sentido, al existir un vacío legal respecto de la aplicación de estas técnicas en parejas homosexuales</w:t>
      </w:r>
      <w:r w:rsidR="008D0497">
        <w:rPr>
          <w:rFonts w:ascii="Arial" w:eastAsia="Times New Roman" w:hAnsi="Arial" w:cs="Arial"/>
          <w:sz w:val="24"/>
          <w:szCs w:val="24"/>
        </w:rPr>
        <w:t xml:space="preserve"> en la fecha de la dictación de esta sentencia</w:t>
      </w:r>
      <w:r>
        <w:rPr>
          <w:rFonts w:ascii="Arial" w:eastAsia="Times New Roman" w:hAnsi="Arial" w:cs="Arial"/>
          <w:sz w:val="24"/>
          <w:szCs w:val="24"/>
        </w:rPr>
        <w:t>, debe atenderse a los principios de igualdad y no discriminación, citándose en el fallo la sentencia de la Corte Interamericana de DDHH referido al caso “Atala Riffo y niñas VS. Estado de Chile”, lo cual eleva a norma del “</w:t>
      </w:r>
      <w:r>
        <w:rPr>
          <w:rFonts w:ascii="Arial" w:eastAsia="Times New Roman" w:hAnsi="Arial" w:cs="Arial"/>
          <w:i/>
          <w:iCs/>
          <w:sz w:val="24"/>
          <w:szCs w:val="24"/>
        </w:rPr>
        <w:t>ius cogens</w:t>
      </w:r>
      <w:r>
        <w:rPr>
          <w:rFonts w:ascii="Arial" w:eastAsia="Times New Roman" w:hAnsi="Arial" w:cs="Arial"/>
          <w:sz w:val="24"/>
          <w:szCs w:val="24"/>
        </w:rPr>
        <w:t>” dichos principios, permeando por ende a todo nuestro ordenamiento.</w:t>
      </w:r>
    </w:p>
    <w:p w14:paraId="3C72F9AF" w14:textId="5D9A4792" w:rsidR="001957EA" w:rsidRDefault="001957EA" w:rsidP="002013F0">
      <w:pPr>
        <w:jc w:val="both"/>
        <w:rPr>
          <w:rFonts w:ascii="Arial" w:eastAsia="Times New Roman" w:hAnsi="Arial" w:cs="Arial"/>
          <w:sz w:val="24"/>
          <w:szCs w:val="24"/>
        </w:rPr>
      </w:pPr>
      <w:r>
        <w:rPr>
          <w:rFonts w:ascii="Arial" w:eastAsia="Times New Roman" w:hAnsi="Arial" w:cs="Arial"/>
          <w:sz w:val="24"/>
          <w:szCs w:val="24"/>
        </w:rPr>
        <w:t xml:space="preserve">En lo que respecta a la determinación de si, en el caso, se configuró una técnica de reproducción asistida o no,  se indica por el sentenciador que la ley chilena presenta un vacío legal en la materia, siendo el único acercamiento normativo que existe para esto la Resolución Exenta N°814 de 2013 del Ministerio de Salud que contempla dentro de estas técnicas a la inseminación artificial, entendiendo por tal la utilización de espermatozoides, ya sea de la pareja o de un donante conocido o anónimo, los cuales son introducidos mediante una cánula a nivel vaginal, cervical o al interior del útero, siendo este procedimiento efectuado en una consulta médica, pese a que nada obsta a que pueda </w:t>
      </w:r>
      <w:r>
        <w:rPr>
          <w:rFonts w:ascii="Arial" w:eastAsia="Times New Roman" w:hAnsi="Arial" w:cs="Arial"/>
          <w:sz w:val="24"/>
          <w:szCs w:val="24"/>
        </w:rPr>
        <w:lastRenderedPageBreak/>
        <w:t>realizarse en otro lugar ya que es de corta duración, no requiere anestesia y no produce molestias.</w:t>
      </w:r>
    </w:p>
    <w:p w14:paraId="7EA55FA4" w14:textId="5B82FB7B" w:rsidR="001957EA" w:rsidRDefault="001957EA" w:rsidP="002013F0">
      <w:pPr>
        <w:jc w:val="both"/>
        <w:rPr>
          <w:rFonts w:ascii="Arial" w:eastAsia="Times New Roman" w:hAnsi="Arial" w:cs="Arial"/>
          <w:sz w:val="24"/>
          <w:szCs w:val="24"/>
        </w:rPr>
      </w:pPr>
      <w:r>
        <w:rPr>
          <w:rFonts w:ascii="Arial" w:eastAsia="Times New Roman" w:hAnsi="Arial" w:cs="Arial"/>
          <w:sz w:val="24"/>
          <w:szCs w:val="24"/>
        </w:rPr>
        <w:t>Así, si no se considerara este procedimiento como técnica de reproducción asistida solamente por el hecho de que se trata de una pareja homosexual, se estaría generando una discriminación al niño, vulnerando el artículo 2.2. de la Convención de Derechos del Niño, refiriendo nuevamente al fallo Atala.</w:t>
      </w:r>
    </w:p>
    <w:p w14:paraId="0A7D490A" w14:textId="1FB95D1D" w:rsidR="001957EA" w:rsidRDefault="001957EA" w:rsidP="002013F0">
      <w:pPr>
        <w:jc w:val="both"/>
        <w:rPr>
          <w:rFonts w:ascii="Arial" w:eastAsia="Times New Roman" w:hAnsi="Arial" w:cs="Arial"/>
          <w:sz w:val="24"/>
          <w:szCs w:val="24"/>
        </w:rPr>
      </w:pPr>
      <w:r>
        <w:rPr>
          <w:rFonts w:ascii="Arial" w:eastAsia="Times New Roman" w:hAnsi="Arial" w:cs="Arial"/>
          <w:sz w:val="24"/>
          <w:szCs w:val="24"/>
        </w:rPr>
        <w:t xml:space="preserve">En el mismo sentido, se reconoce que el artículo 1 de la Constitución establece un derecho a formar familia, por lo </w:t>
      </w:r>
      <w:r w:rsidR="008D0497">
        <w:rPr>
          <w:rFonts w:ascii="Arial" w:eastAsia="Times New Roman" w:hAnsi="Arial" w:cs="Arial"/>
          <w:sz w:val="24"/>
          <w:szCs w:val="24"/>
        </w:rPr>
        <w:t xml:space="preserve">que </w:t>
      </w:r>
      <w:r>
        <w:rPr>
          <w:rFonts w:ascii="Arial" w:eastAsia="Times New Roman" w:hAnsi="Arial" w:cs="Arial"/>
          <w:sz w:val="24"/>
          <w:szCs w:val="24"/>
        </w:rPr>
        <w:t>debe darse protección y asistencia necesarias para que el niño pueda crecer en el seno de una familia. Ante esto, en el caso se da por probado que la intención de formar familia se daba entre la demanda</w:t>
      </w:r>
      <w:r w:rsidR="008D0497">
        <w:rPr>
          <w:rFonts w:ascii="Arial" w:eastAsia="Times New Roman" w:hAnsi="Arial" w:cs="Arial"/>
          <w:sz w:val="24"/>
          <w:szCs w:val="24"/>
        </w:rPr>
        <w:t>da</w:t>
      </w:r>
      <w:r>
        <w:rPr>
          <w:rFonts w:ascii="Arial" w:eastAsia="Times New Roman" w:hAnsi="Arial" w:cs="Arial"/>
          <w:sz w:val="24"/>
          <w:szCs w:val="24"/>
        </w:rPr>
        <w:t xml:space="preserve"> y</w:t>
      </w:r>
      <w:r w:rsidR="008D0497">
        <w:rPr>
          <w:rFonts w:ascii="Arial" w:eastAsia="Times New Roman" w:hAnsi="Arial" w:cs="Arial"/>
          <w:sz w:val="24"/>
          <w:szCs w:val="24"/>
        </w:rPr>
        <w:t xml:space="preserve"> su pareja, mas no en el donante</w:t>
      </w:r>
      <w:r>
        <w:rPr>
          <w:rFonts w:ascii="Arial" w:eastAsia="Times New Roman" w:hAnsi="Arial" w:cs="Arial"/>
          <w:sz w:val="24"/>
          <w:szCs w:val="24"/>
        </w:rPr>
        <w:t>.</w:t>
      </w:r>
      <w:r w:rsidR="00A85392">
        <w:rPr>
          <w:rFonts w:ascii="Arial" w:eastAsia="Times New Roman" w:hAnsi="Arial" w:cs="Arial"/>
          <w:sz w:val="24"/>
          <w:szCs w:val="24"/>
        </w:rPr>
        <w:t xml:space="preserve"> Por lo demás, dado que la demandante y su pareja se encuentra</w:t>
      </w:r>
      <w:r w:rsidR="008D0497">
        <w:rPr>
          <w:rFonts w:ascii="Arial" w:eastAsia="Times New Roman" w:hAnsi="Arial" w:cs="Arial"/>
          <w:sz w:val="24"/>
          <w:szCs w:val="24"/>
        </w:rPr>
        <w:t>n</w:t>
      </w:r>
      <w:r w:rsidR="00A85392">
        <w:rPr>
          <w:rFonts w:ascii="Arial" w:eastAsia="Times New Roman" w:hAnsi="Arial" w:cs="Arial"/>
          <w:sz w:val="24"/>
          <w:szCs w:val="24"/>
        </w:rPr>
        <w:t xml:space="preserve"> biológicamente impedidas de concebir un hijo biológico de ambas, las técnicas de reproducción asistida resultan </w:t>
      </w:r>
      <w:r w:rsidR="008D0497">
        <w:rPr>
          <w:rFonts w:ascii="Arial" w:eastAsia="Times New Roman" w:hAnsi="Arial" w:cs="Arial"/>
          <w:sz w:val="24"/>
          <w:szCs w:val="24"/>
        </w:rPr>
        <w:t>el</w:t>
      </w:r>
      <w:r w:rsidR="00A85392">
        <w:rPr>
          <w:rFonts w:ascii="Arial" w:eastAsia="Times New Roman" w:hAnsi="Arial" w:cs="Arial"/>
          <w:sz w:val="24"/>
          <w:szCs w:val="24"/>
        </w:rPr>
        <w:t xml:space="preserve"> único mecanismo para concretar el fin de ser madres y formar familia</w:t>
      </w:r>
      <w:r w:rsidR="008D0497">
        <w:rPr>
          <w:rFonts w:ascii="Arial" w:eastAsia="Times New Roman" w:hAnsi="Arial" w:cs="Arial"/>
          <w:sz w:val="24"/>
          <w:szCs w:val="24"/>
        </w:rPr>
        <w:t>.</w:t>
      </w:r>
    </w:p>
    <w:p w14:paraId="3D51CDDC" w14:textId="4ACF0E3D" w:rsidR="00A85392" w:rsidRDefault="00A85392" w:rsidP="002013F0">
      <w:pPr>
        <w:jc w:val="both"/>
        <w:rPr>
          <w:rFonts w:ascii="Arial" w:eastAsia="Times New Roman" w:hAnsi="Arial" w:cs="Arial"/>
          <w:sz w:val="24"/>
          <w:szCs w:val="24"/>
        </w:rPr>
      </w:pPr>
      <w:r>
        <w:rPr>
          <w:rFonts w:ascii="Arial" w:eastAsia="Times New Roman" w:hAnsi="Arial" w:cs="Arial"/>
          <w:sz w:val="24"/>
          <w:szCs w:val="24"/>
        </w:rPr>
        <w:t>Así, dado que se configura la hipótesis de utilización de una técnica de reproducción asis</w:t>
      </w:r>
      <w:r w:rsidR="008D0497">
        <w:rPr>
          <w:rFonts w:ascii="Arial" w:eastAsia="Times New Roman" w:hAnsi="Arial" w:cs="Arial"/>
          <w:sz w:val="24"/>
          <w:szCs w:val="24"/>
        </w:rPr>
        <w:t>tida, no es lícito al donante</w:t>
      </w:r>
      <w:r>
        <w:rPr>
          <w:rFonts w:ascii="Arial" w:eastAsia="Times New Roman" w:hAnsi="Arial" w:cs="Arial"/>
          <w:sz w:val="24"/>
          <w:szCs w:val="24"/>
        </w:rPr>
        <w:t xml:space="preserve"> modificar su voluntad y pretender tener participación como padre del niño que nació por su donación, aprovechando la circunstancia de que nuestro ordenamiento permite reconocer a un hijo aun en contra de la voluntad de la madre, sin perjuicio de poder impugnarse dicha inscripción en el plazo de un año</w:t>
      </w:r>
      <w:r w:rsidR="001E2E25">
        <w:rPr>
          <w:rFonts w:ascii="Arial" w:eastAsia="Times New Roman" w:hAnsi="Arial" w:cs="Arial"/>
          <w:sz w:val="24"/>
          <w:szCs w:val="24"/>
        </w:rPr>
        <w:t xml:space="preserve"> y sin perjuicio del derecho que mantiene el niño de poder indagar, cuando tenga la madurez necesaria, sus orígenes.</w:t>
      </w:r>
    </w:p>
    <w:p w14:paraId="78B2DC08" w14:textId="548C9458" w:rsidR="001E2E25" w:rsidRDefault="001E2E25" w:rsidP="002013F0">
      <w:pPr>
        <w:jc w:val="both"/>
        <w:rPr>
          <w:rFonts w:ascii="Arial" w:eastAsia="Times New Roman" w:hAnsi="Arial" w:cs="Arial"/>
          <w:sz w:val="24"/>
          <w:szCs w:val="24"/>
        </w:rPr>
      </w:pPr>
      <w:r>
        <w:rPr>
          <w:rFonts w:ascii="Arial" w:eastAsia="Times New Roman" w:hAnsi="Arial" w:cs="Arial"/>
          <w:sz w:val="24"/>
          <w:szCs w:val="24"/>
        </w:rPr>
        <w:t>Finalmente, el Tribunal opta por no considerar al Consejero Técnico ni al curador Ad Litem, que inv</w:t>
      </w:r>
      <w:r w:rsidR="008D0497">
        <w:rPr>
          <w:rFonts w:ascii="Arial" w:eastAsia="Times New Roman" w:hAnsi="Arial" w:cs="Arial"/>
          <w:sz w:val="24"/>
          <w:szCs w:val="24"/>
        </w:rPr>
        <w:t>ocan el interés superior del niño</w:t>
      </w:r>
      <w:r>
        <w:rPr>
          <w:rFonts w:ascii="Arial" w:eastAsia="Times New Roman" w:hAnsi="Arial" w:cs="Arial"/>
          <w:sz w:val="24"/>
          <w:szCs w:val="24"/>
        </w:rPr>
        <w:t xml:space="preserve"> para no dar aplicación al artículo 182 del Código Civil, toda vez </w:t>
      </w:r>
      <w:r w:rsidR="008D0497">
        <w:rPr>
          <w:rFonts w:ascii="Arial" w:eastAsia="Times New Roman" w:hAnsi="Arial" w:cs="Arial"/>
          <w:sz w:val="24"/>
          <w:szCs w:val="24"/>
        </w:rPr>
        <w:t>que,</w:t>
      </w:r>
      <w:r>
        <w:rPr>
          <w:rFonts w:ascii="Arial" w:eastAsia="Times New Roman" w:hAnsi="Arial" w:cs="Arial"/>
          <w:sz w:val="24"/>
          <w:szCs w:val="24"/>
        </w:rPr>
        <w:t xml:space="preserve"> a su criterio, dicho interés no puede ser fundamento para no aplicar un estatuto de filiación expresamente contemplado en la ley.</w:t>
      </w:r>
    </w:p>
    <w:p w14:paraId="46A9F6A7" w14:textId="03694736" w:rsidR="00EB38C1" w:rsidRDefault="008D0497" w:rsidP="002013F0">
      <w:pPr>
        <w:jc w:val="both"/>
        <w:rPr>
          <w:rFonts w:ascii="Arial" w:eastAsia="Times New Roman" w:hAnsi="Arial" w:cs="Arial"/>
          <w:sz w:val="24"/>
          <w:szCs w:val="24"/>
        </w:rPr>
      </w:pPr>
      <w:r>
        <w:rPr>
          <w:rFonts w:ascii="Arial" w:eastAsia="Times New Roman" w:hAnsi="Arial" w:cs="Arial"/>
          <w:sz w:val="24"/>
          <w:szCs w:val="24"/>
        </w:rPr>
        <w:t xml:space="preserve">Finalmente, no </w:t>
      </w:r>
      <w:r w:rsidR="001E2E25">
        <w:rPr>
          <w:rFonts w:ascii="Arial" w:eastAsia="Times New Roman" w:hAnsi="Arial" w:cs="Arial"/>
          <w:sz w:val="24"/>
          <w:szCs w:val="24"/>
        </w:rPr>
        <w:t>favo</w:t>
      </w:r>
      <w:r>
        <w:rPr>
          <w:rFonts w:ascii="Arial" w:eastAsia="Times New Roman" w:hAnsi="Arial" w:cs="Arial"/>
          <w:sz w:val="24"/>
          <w:szCs w:val="24"/>
        </w:rPr>
        <w:t>rece el interés superior del niño</w:t>
      </w:r>
      <w:r w:rsidR="001E2E25">
        <w:rPr>
          <w:rFonts w:ascii="Arial" w:eastAsia="Times New Roman" w:hAnsi="Arial" w:cs="Arial"/>
          <w:sz w:val="24"/>
          <w:szCs w:val="24"/>
        </w:rPr>
        <w:t xml:space="preserve"> el que el donante asuma el rol de padre, cuando él no se sometió a un proceso de técnic</w:t>
      </w:r>
      <w:r>
        <w:rPr>
          <w:rFonts w:ascii="Arial" w:eastAsia="Times New Roman" w:hAnsi="Arial" w:cs="Arial"/>
          <w:sz w:val="24"/>
          <w:szCs w:val="24"/>
        </w:rPr>
        <w:t xml:space="preserve">a de reproducción asistida, no </w:t>
      </w:r>
      <w:r w:rsidR="00B84E96">
        <w:rPr>
          <w:rFonts w:ascii="Arial" w:eastAsia="Times New Roman" w:hAnsi="Arial" w:cs="Arial"/>
          <w:sz w:val="24"/>
          <w:szCs w:val="24"/>
        </w:rPr>
        <w:t>obstante</w:t>
      </w:r>
      <w:r w:rsidR="001E2E25">
        <w:rPr>
          <w:rFonts w:ascii="Arial" w:eastAsia="Times New Roman" w:hAnsi="Arial" w:cs="Arial"/>
          <w:sz w:val="24"/>
          <w:szCs w:val="24"/>
        </w:rPr>
        <w:t xml:space="preserve"> que, si en el futuro el niño quiere conocer a su padre biológico, </w:t>
      </w:r>
      <w:r w:rsidR="00B84E96">
        <w:rPr>
          <w:rFonts w:ascii="Arial" w:eastAsia="Times New Roman" w:hAnsi="Arial" w:cs="Arial"/>
          <w:sz w:val="24"/>
          <w:szCs w:val="24"/>
        </w:rPr>
        <w:t xml:space="preserve">basado en el derecho a la identidad del niño. </w:t>
      </w:r>
    </w:p>
    <w:p w14:paraId="32243EBA" w14:textId="77777777" w:rsidR="00B61D7B" w:rsidRDefault="00B61D7B"/>
    <w:sectPr w:rsidR="00B61D7B" w:rsidSect="00662082">
      <w:headerReference w:type="default" r:id="rId7"/>
      <w:footerReference w:type="even" r:id="rId8"/>
      <w:footerReference w:type="default" r:id="rId9"/>
      <w:pgSz w:w="12240" w:h="15840"/>
      <w:pgMar w:top="1418" w:right="1418" w:bottom="1418" w:left="1418" w:header="708" w:footer="708"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C786A6" w14:textId="77777777" w:rsidR="00314E3B" w:rsidRDefault="00314E3B">
      <w:pPr>
        <w:spacing w:after="0" w:line="240" w:lineRule="auto"/>
      </w:pPr>
      <w:r>
        <w:separator/>
      </w:r>
    </w:p>
  </w:endnote>
  <w:endnote w:type="continuationSeparator" w:id="0">
    <w:p w14:paraId="106D5083" w14:textId="77777777" w:rsidR="00314E3B" w:rsidRDefault="00314E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merodepgina"/>
      </w:rPr>
      <w:id w:val="-687147321"/>
      <w:docPartObj>
        <w:docPartGallery w:val="Page Numbers (Bottom of Page)"/>
        <w:docPartUnique/>
      </w:docPartObj>
    </w:sdtPr>
    <w:sdtEndPr>
      <w:rPr>
        <w:rStyle w:val="Nmerodepgina"/>
      </w:rPr>
    </w:sdtEndPr>
    <w:sdtContent>
      <w:p w14:paraId="0057E2B5" w14:textId="77777777" w:rsidR="00662082" w:rsidRDefault="00662082" w:rsidP="00662082">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46A0E25D" w14:textId="77777777" w:rsidR="00662082" w:rsidRDefault="00662082" w:rsidP="00662082">
    <w:pPr>
      <w:pStyle w:val="Piedepgin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merodepgina"/>
      </w:rPr>
      <w:id w:val="-543059073"/>
      <w:docPartObj>
        <w:docPartGallery w:val="Page Numbers (Bottom of Page)"/>
        <w:docPartUnique/>
      </w:docPartObj>
    </w:sdtPr>
    <w:sdtEndPr>
      <w:rPr>
        <w:rStyle w:val="Nmerodepgina"/>
      </w:rPr>
    </w:sdtEndPr>
    <w:sdtContent>
      <w:p w14:paraId="49767370" w14:textId="51A61E59" w:rsidR="00662082" w:rsidRDefault="00662082" w:rsidP="00662082">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E15304">
          <w:rPr>
            <w:rStyle w:val="Nmerodepgina"/>
            <w:noProof/>
          </w:rPr>
          <w:t>1</w:t>
        </w:r>
        <w:r>
          <w:rPr>
            <w:rStyle w:val="Nmerodepgina"/>
          </w:rPr>
          <w:fldChar w:fldCharType="end"/>
        </w:r>
      </w:p>
    </w:sdtContent>
  </w:sdt>
  <w:p w14:paraId="60376F85" w14:textId="77777777" w:rsidR="00662082" w:rsidRDefault="00662082" w:rsidP="00662082">
    <w:pPr>
      <w:pStyle w:val="Piedepgin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A71376" w14:textId="77777777" w:rsidR="00314E3B" w:rsidRDefault="00314E3B">
      <w:pPr>
        <w:spacing w:after="0" w:line="240" w:lineRule="auto"/>
      </w:pPr>
      <w:r>
        <w:separator/>
      </w:r>
    </w:p>
  </w:footnote>
  <w:footnote w:type="continuationSeparator" w:id="0">
    <w:p w14:paraId="1DC614E9" w14:textId="77777777" w:rsidR="00314E3B" w:rsidRDefault="00314E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9E87D3" w14:textId="11D30B5B" w:rsidR="00662082" w:rsidRPr="00985681" w:rsidRDefault="00662082" w:rsidP="000D7E24">
    <w:pPr>
      <w:pStyle w:val="Encabezado"/>
      <w:jc w:val="right"/>
    </w:pPr>
    <w:r>
      <w:rPr>
        <w:noProof/>
        <w:lang w:val="es-CL"/>
      </w:rPr>
      <w:drawing>
        <wp:inline distT="0" distB="0" distL="0" distR="0" wp14:anchorId="1EF92A20" wp14:editId="57D1D375">
          <wp:extent cx="993775" cy="1120775"/>
          <wp:effectExtent l="0" t="0" r="0" b="3175"/>
          <wp:docPr id="2" name="image2.png" descr="Imagen que contiene 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2" name="image2.png" descr="Imagen que contiene Texto&#10;&#10;Descripción generada automáticamente"/>
                  <pic:cNvPicPr/>
                </pic:nvPicPr>
                <pic:blipFill>
                  <a:blip r:embed="rId1"/>
                  <a:srcRect/>
                  <a:stretch>
                    <a:fillRect/>
                  </a:stretch>
                </pic:blipFill>
                <pic:spPr>
                  <a:xfrm>
                    <a:off x="0" y="0"/>
                    <a:ext cx="993775" cy="1120775"/>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031901"/>
    <w:multiLevelType w:val="multilevel"/>
    <w:tmpl w:val="01962EB4"/>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13F0"/>
    <w:rsid w:val="000D7E24"/>
    <w:rsid w:val="00187809"/>
    <w:rsid w:val="001957EA"/>
    <w:rsid w:val="001C300F"/>
    <w:rsid w:val="001E2E25"/>
    <w:rsid w:val="002013F0"/>
    <w:rsid w:val="0020581F"/>
    <w:rsid w:val="0027290F"/>
    <w:rsid w:val="00314E3B"/>
    <w:rsid w:val="003B37B8"/>
    <w:rsid w:val="004439FA"/>
    <w:rsid w:val="00552BC1"/>
    <w:rsid w:val="00576890"/>
    <w:rsid w:val="005E6A96"/>
    <w:rsid w:val="00607E3E"/>
    <w:rsid w:val="00662082"/>
    <w:rsid w:val="00877BEB"/>
    <w:rsid w:val="008D0497"/>
    <w:rsid w:val="00A85392"/>
    <w:rsid w:val="00AA54FD"/>
    <w:rsid w:val="00B61D7B"/>
    <w:rsid w:val="00B84E96"/>
    <w:rsid w:val="00C63CF7"/>
    <w:rsid w:val="00CA4C00"/>
    <w:rsid w:val="00E15304"/>
    <w:rsid w:val="00EB38C1"/>
    <w:rsid w:val="00F20E5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C525D0"/>
  <w15:docId w15:val="{8CFD9699-E665-43A4-A9C6-FF891EEDF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CL"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13F0"/>
    <w:rPr>
      <w:rFonts w:ascii="Calibri" w:eastAsia="Calibri" w:hAnsi="Calibri" w:cs="Calibri"/>
      <w:kern w:val="0"/>
      <w:lang w:val="es-ES" w:eastAsia="es-CL"/>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013F0"/>
    <w:pPr>
      <w:ind w:left="720"/>
      <w:contextualSpacing/>
    </w:pPr>
  </w:style>
  <w:style w:type="paragraph" w:styleId="Encabezado">
    <w:name w:val="header"/>
    <w:basedOn w:val="Normal"/>
    <w:link w:val="EncabezadoCar"/>
    <w:uiPriority w:val="99"/>
    <w:unhideWhenUsed/>
    <w:rsid w:val="002013F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013F0"/>
    <w:rPr>
      <w:rFonts w:ascii="Calibri" w:eastAsia="Calibri" w:hAnsi="Calibri" w:cs="Calibri"/>
      <w:kern w:val="0"/>
      <w:lang w:val="es-ES" w:eastAsia="es-CL"/>
      <w14:ligatures w14:val="none"/>
    </w:rPr>
  </w:style>
  <w:style w:type="paragraph" w:styleId="Piedepgina">
    <w:name w:val="footer"/>
    <w:basedOn w:val="Normal"/>
    <w:link w:val="PiedepginaCar"/>
    <w:uiPriority w:val="99"/>
    <w:unhideWhenUsed/>
    <w:rsid w:val="002013F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013F0"/>
    <w:rPr>
      <w:rFonts w:ascii="Calibri" w:eastAsia="Calibri" w:hAnsi="Calibri" w:cs="Calibri"/>
      <w:kern w:val="0"/>
      <w:lang w:val="es-ES" w:eastAsia="es-CL"/>
      <w14:ligatures w14:val="none"/>
    </w:rPr>
  </w:style>
  <w:style w:type="character" w:styleId="Nmerodepgina">
    <w:name w:val="page number"/>
    <w:basedOn w:val="Fuentedeprrafopredeter"/>
    <w:uiPriority w:val="99"/>
    <w:semiHidden/>
    <w:unhideWhenUsed/>
    <w:rsid w:val="002013F0"/>
  </w:style>
  <w:style w:type="table" w:customStyle="1" w:styleId="Tablaconcuadrcula1">
    <w:name w:val="Tabla con cuadrícula1"/>
    <w:basedOn w:val="Tablanormal"/>
    <w:next w:val="Tablaconcuadrcula"/>
    <w:uiPriority w:val="39"/>
    <w:rsid w:val="002013F0"/>
    <w:pPr>
      <w:spacing w:after="0" w:line="240" w:lineRule="auto"/>
    </w:pPr>
    <w:rPr>
      <w:rFonts w:ascii="Times New Roman" w:hAnsi="Times New Roman" w:cs="Courier New"/>
      <w:color w:val="000000"/>
      <w:sz w:val="20"/>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39"/>
    <w:rsid w:val="002013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4</Pages>
  <Words>1487</Words>
  <Characters>8184</Characters>
  <Application>Microsoft Office Word</Application>
  <DocSecurity>0</DocSecurity>
  <Lines>68</Lines>
  <Paragraphs>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Mendoza Burgos, David Ignacio</dc:creator>
  <cp:keywords/>
  <dc:description/>
  <cp:lastModifiedBy>Valeria Sepúlveda</cp:lastModifiedBy>
  <cp:revision>6</cp:revision>
  <dcterms:created xsi:type="dcterms:W3CDTF">2024-01-09T19:47:00Z</dcterms:created>
  <dcterms:modified xsi:type="dcterms:W3CDTF">2024-01-10T14:25:00Z</dcterms:modified>
</cp:coreProperties>
</file>