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ED487E" w14:textId="77777777" w:rsidR="00FC136C" w:rsidRPr="00D41C16" w:rsidRDefault="00FC136C" w:rsidP="00D41C1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eastAsia="Times New Roman"/>
          <w:b/>
          <w:sz w:val="24"/>
          <w:szCs w:val="24"/>
          <w:u w:val="single"/>
        </w:rPr>
      </w:pPr>
    </w:p>
    <w:p w14:paraId="7802DBD1" w14:textId="77777777" w:rsidR="00FC136C" w:rsidRPr="00D41C16" w:rsidRDefault="00FC136C" w:rsidP="00D41C16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line="480" w:lineRule="auto"/>
        <w:ind w:left="1080"/>
        <w:jc w:val="center"/>
        <w:rPr>
          <w:rFonts w:eastAsia="Times New Roman"/>
          <w:b/>
          <w:sz w:val="24"/>
          <w:szCs w:val="24"/>
        </w:rPr>
      </w:pPr>
      <w:r w:rsidRPr="00D41C16">
        <w:rPr>
          <w:rFonts w:eastAsia="Times New Roman"/>
          <w:b/>
          <w:sz w:val="24"/>
          <w:szCs w:val="24"/>
        </w:rPr>
        <w:t>Observatorio Jurisprudencial</w:t>
      </w:r>
    </w:p>
    <w:p w14:paraId="20B7DD29" w14:textId="77777777" w:rsidR="00FC136C" w:rsidRPr="00D41C16" w:rsidRDefault="00FC136C" w:rsidP="00D41C16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080"/>
        <w:jc w:val="center"/>
        <w:rPr>
          <w:rFonts w:eastAsia="Times New Roman"/>
          <w:sz w:val="24"/>
          <w:szCs w:val="24"/>
        </w:rPr>
      </w:pPr>
      <w:r w:rsidRPr="00D41C16">
        <w:rPr>
          <w:rFonts w:eastAsia="Times New Roman"/>
          <w:sz w:val="24"/>
          <w:szCs w:val="24"/>
        </w:rPr>
        <w:t>Programa Persona, Familias y Derecho</w:t>
      </w:r>
    </w:p>
    <w:p w14:paraId="6999A247" w14:textId="77777777" w:rsidR="00FC136C" w:rsidRDefault="00FC136C" w:rsidP="00265389">
      <w:pPr>
        <w:jc w:val="both"/>
      </w:pPr>
    </w:p>
    <w:p w14:paraId="1C589219" w14:textId="77777777" w:rsidR="00FC136C" w:rsidRDefault="00FC136C" w:rsidP="00265389">
      <w:pPr>
        <w:jc w:val="both"/>
      </w:pPr>
    </w:p>
    <w:tbl>
      <w:tblPr>
        <w:tblStyle w:val="Tablaconcuadrcula"/>
        <w:tblpPr w:leftFromText="141" w:rightFromText="141" w:vertAnchor="text" w:horzAnchor="margin" w:tblpY="-54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FC136C" w:rsidRPr="00777C94" w14:paraId="77F6502F" w14:textId="77777777" w:rsidTr="004F4D8E">
        <w:tc>
          <w:tcPr>
            <w:tcW w:w="4414" w:type="dxa"/>
          </w:tcPr>
          <w:p w14:paraId="0CE98780" w14:textId="77777777" w:rsidR="00FC136C" w:rsidRPr="00777C94" w:rsidRDefault="00FC136C" w:rsidP="00265389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Tribunal</w:t>
            </w:r>
          </w:p>
        </w:tc>
        <w:tc>
          <w:tcPr>
            <w:tcW w:w="4414" w:type="dxa"/>
          </w:tcPr>
          <w:p w14:paraId="75FFF8BD" w14:textId="77777777" w:rsidR="00FC136C" w:rsidRPr="00777C94" w:rsidRDefault="00FC136C" w:rsidP="00265389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 w:rsidRPr="00777C94">
              <w:rPr>
                <w:sz w:val="24"/>
                <w:szCs w:val="24"/>
              </w:rPr>
              <w:t>Corte de Apelaciones de La Serena</w:t>
            </w:r>
          </w:p>
        </w:tc>
      </w:tr>
      <w:tr w:rsidR="00FC136C" w:rsidRPr="00777C94" w14:paraId="79CABB7D" w14:textId="77777777" w:rsidTr="004F4D8E">
        <w:tc>
          <w:tcPr>
            <w:tcW w:w="4414" w:type="dxa"/>
          </w:tcPr>
          <w:p w14:paraId="3F6F2013" w14:textId="77777777" w:rsidR="00FC136C" w:rsidRPr="00777C94" w:rsidRDefault="00FC136C" w:rsidP="00265389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Rol/RIT</w:t>
            </w:r>
          </w:p>
        </w:tc>
        <w:tc>
          <w:tcPr>
            <w:tcW w:w="4414" w:type="dxa"/>
          </w:tcPr>
          <w:p w14:paraId="252E3C44" w14:textId="32298718" w:rsidR="00FC136C" w:rsidRPr="00777C94" w:rsidRDefault="00057966" w:rsidP="00265389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678-2022</w:t>
            </w:r>
          </w:p>
        </w:tc>
      </w:tr>
      <w:tr w:rsidR="00FC136C" w:rsidRPr="00777C94" w14:paraId="60B6CB0F" w14:textId="77777777" w:rsidTr="004F4D8E">
        <w:tc>
          <w:tcPr>
            <w:tcW w:w="4414" w:type="dxa"/>
          </w:tcPr>
          <w:p w14:paraId="7187B2DA" w14:textId="77777777" w:rsidR="00FC136C" w:rsidRPr="00777C94" w:rsidRDefault="00FC136C" w:rsidP="00265389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Fecha de ingreso</w:t>
            </w:r>
          </w:p>
        </w:tc>
        <w:tc>
          <w:tcPr>
            <w:tcW w:w="4414" w:type="dxa"/>
          </w:tcPr>
          <w:p w14:paraId="7DE54C8D" w14:textId="0678B492" w:rsidR="00FC136C" w:rsidRPr="00777C94" w:rsidRDefault="00057966" w:rsidP="00265389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FC136C" w:rsidRPr="00777C94">
              <w:rPr>
                <w:sz w:val="24"/>
                <w:szCs w:val="24"/>
              </w:rPr>
              <w:t xml:space="preserve"> de </w:t>
            </w:r>
            <w:r>
              <w:rPr>
                <w:sz w:val="24"/>
                <w:szCs w:val="24"/>
              </w:rPr>
              <w:t>mayo</w:t>
            </w:r>
            <w:r w:rsidR="00FC136C" w:rsidRPr="00777C94">
              <w:rPr>
                <w:sz w:val="24"/>
                <w:szCs w:val="24"/>
              </w:rPr>
              <w:t xml:space="preserve"> de 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FC136C" w:rsidRPr="00777C94" w14:paraId="011A8587" w14:textId="77777777" w:rsidTr="004F4D8E">
        <w:tc>
          <w:tcPr>
            <w:tcW w:w="4414" w:type="dxa"/>
          </w:tcPr>
          <w:p w14:paraId="5F98F8CE" w14:textId="77777777" w:rsidR="00FC136C" w:rsidRPr="00777C94" w:rsidRDefault="00FC136C" w:rsidP="00265389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Recurso/Materia</w:t>
            </w:r>
          </w:p>
        </w:tc>
        <w:tc>
          <w:tcPr>
            <w:tcW w:w="4414" w:type="dxa"/>
          </w:tcPr>
          <w:p w14:paraId="0A8DE86E" w14:textId="2104E74A" w:rsidR="00FC136C" w:rsidRPr="00777C94" w:rsidRDefault="00057966" w:rsidP="00265389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Aumento de alimentos</w:t>
            </w:r>
          </w:p>
        </w:tc>
      </w:tr>
      <w:tr w:rsidR="00FC136C" w:rsidRPr="00777C94" w14:paraId="265C0286" w14:textId="77777777" w:rsidTr="004F4D8E">
        <w:tc>
          <w:tcPr>
            <w:tcW w:w="4414" w:type="dxa"/>
          </w:tcPr>
          <w:p w14:paraId="71813D0B" w14:textId="77777777" w:rsidR="00FC136C" w:rsidRPr="00777C94" w:rsidRDefault="00FC136C" w:rsidP="00265389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Resultado</w:t>
            </w:r>
          </w:p>
        </w:tc>
        <w:tc>
          <w:tcPr>
            <w:tcW w:w="4414" w:type="dxa"/>
          </w:tcPr>
          <w:p w14:paraId="060FC743" w14:textId="43D1C8E2" w:rsidR="00FC136C" w:rsidRPr="00777C94" w:rsidRDefault="00057966" w:rsidP="00265389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Revocada</w:t>
            </w:r>
          </w:p>
        </w:tc>
      </w:tr>
      <w:tr w:rsidR="00FC136C" w:rsidRPr="00777C94" w14:paraId="78155EA6" w14:textId="77777777" w:rsidTr="004F4D8E">
        <w:tc>
          <w:tcPr>
            <w:tcW w:w="4414" w:type="dxa"/>
          </w:tcPr>
          <w:p w14:paraId="32D99676" w14:textId="77777777" w:rsidR="00FC136C" w:rsidRPr="00777C94" w:rsidRDefault="00FC136C" w:rsidP="00265389">
            <w:pPr>
              <w:spacing w:before="120" w:line="276" w:lineRule="auto"/>
              <w:jc w:val="both"/>
              <w:rPr>
                <w:b/>
                <w:bCs/>
                <w:sz w:val="24"/>
                <w:szCs w:val="24"/>
              </w:rPr>
            </w:pPr>
            <w:r w:rsidRPr="00777C94">
              <w:rPr>
                <w:b/>
                <w:bCs/>
                <w:sz w:val="24"/>
                <w:szCs w:val="24"/>
              </w:rPr>
              <w:t>Caratulado</w:t>
            </w:r>
          </w:p>
        </w:tc>
        <w:tc>
          <w:tcPr>
            <w:tcW w:w="4414" w:type="dxa"/>
          </w:tcPr>
          <w:p w14:paraId="606E0727" w14:textId="77777777" w:rsidR="00FC136C" w:rsidRPr="00777C94" w:rsidRDefault="00FC136C" w:rsidP="00265389">
            <w:pPr>
              <w:spacing w:before="120" w:line="276" w:lineRule="auto"/>
              <w:jc w:val="both"/>
              <w:rPr>
                <w:sz w:val="24"/>
                <w:szCs w:val="24"/>
              </w:rPr>
            </w:pPr>
            <w:r w:rsidRPr="00777C94">
              <w:rPr>
                <w:sz w:val="24"/>
                <w:szCs w:val="24"/>
              </w:rPr>
              <w:t>ANONIMIZADO</w:t>
            </w:r>
          </w:p>
        </w:tc>
      </w:tr>
    </w:tbl>
    <w:p w14:paraId="66DCED54" w14:textId="77777777" w:rsidR="00FC136C" w:rsidRDefault="00FC136C" w:rsidP="00265389">
      <w:pPr>
        <w:jc w:val="both"/>
        <w:rPr>
          <w:sz w:val="24"/>
          <w:szCs w:val="24"/>
        </w:rPr>
      </w:pPr>
    </w:p>
    <w:p w14:paraId="4489A66D" w14:textId="77777777" w:rsidR="00FC136C" w:rsidRPr="00187ECC" w:rsidRDefault="00FC136C" w:rsidP="0026538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/>
          <w:sz w:val="24"/>
          <w:szCs w:val="24"/>
        </w:rPr>
      </w:pPr>
      <w:r w:rsidRPr="00187ECC">
        <w:rPr>
          <w:rFonts w:eastAsia="Times New Roman"/>
          <w:b/>
          <w:sz w:val="24"/>
          <w:szCs w:val="24"/>
        </w:rPr>
        <w:t>RESUMEN</w:t>
      </w:r>
    </w:p>
    <w:p w14:paraId="6FC2878D" w14:textId="4D4E4C84" w:rsidR="00FC136C" w:rsidRDefault="00FC136C" w:rsidP="00265389">
      <w:pPr>
        <w:jc w:val="both"/>
        <w:rPr>
          <w:rFonts w:eastAsia="Times New Roman"/>
          <w:sz w:val="24"/>
          <w:szCs w:val="24"/>
        </w:rPr>
      </w:pPr>
      <w:r w:rsidRPr="00777C94">
        <w:rPr>
          <w:rFonts w:eastAsia="Times New Roman"/>
          <w:sz w:val="24"/>
          <w:szCs w:val="24"/>
        </w:rPr>
        <w:t>Derechos vulnerados:</w:t>
      </w:r>
      <w:r w:rsidR="00BB078C">
        <w:rPr>
          <w:rFonts w:eastAsia="Times New Roman"/>
          <w:sz w:val="24"/>
          <w:szCs w:val="24"/>
        </w:rPr>
        <w:t xml:space="preserve"> </w:t>
      </w:r>
      <w:r w:rsidR="005670D0">
        <w:rPr>
          <w:rFonts w:eastAsia="Times New Roman"/>
          <w:sz w:val="24"/>
          <w:szCs w:val="24"/>
        </w:rPr>
        <w:t>De</w:t>
      </w:r>
      <w:r w:rsidR="00FF7152">
        <w:rPr>
          <w:rFonts w:eastAsia="Times New Roman"/>
          <w:sz w:val="24"/>
          <w:szCs w:val="24"/>
        </w:rPr>
        <w:t>recho a pensión de</w:t>
      </w:r>
      <w:r w:rsidR="005670D0">
        <w:rPr>
          <w:rFonts w:eastAsia="Times New Roman"/>
          <w:sz w:val="24"/>
          <w:szCs w:val="24"/>
        </w:rPr>
        <w:t xml:space="preserve"> a</w:t>
      </w:r>
      <w:r w:rsidR="00BB078C">
        <w:rPr>
          <w:rFonts w:eastAsia="Times New Roman"/>
          <w:sz w:val="24"/>
          <w:szCs w:val="24"/>
        </w:rPr>
        <w:t xml:space="preserve">limentos, interés superior del </w:t>
      </w:r>
      <w:r w:rsidR="00BF19B3">
        <w:rPr>
          <w:rFonts w:eastAsia="Times New Roman"/>
          <w:sz w:val="24"/>
          <w:szCs w:val="24"/>
        </w:rPr>
        <w:t>NNA</w:t>
      </w:r>
      <w:r w:rsidR="00BB078C">
        <w:rPr>
          <w:rFonts w:eastAsia="Times New Roman"/>
          <w:sz w:val="24"/>
          <w:szCs w:val="24"/>
        </w:rPr>
        <w:t>.</w:t>
      </w:r>
    </w:p>
    <w:p w14:paraId="43841596" w14:textId="77777777" w:rsidR="00BB078C" w:rsidRDefault="00BB078C" w:rsidP="00265389">
      <w:pPr>
        <w:jc w:val="both"/>
        <w:rPr>
          <w:rFonts w:eastAsia="Times New Roman"/>
          <w:sz w:val="24"/>
          <w:szCs w:val="24"/>
        </w:rPr>
      </w:pPr>
    </w:p>
    <w:p w14:paraId="64AE25CB" w14:textId="1F060A99" w:rsidR="00BB078C" w:rsidRPr="00777C94" w:rsidRDefault="00BB078C" w:rsidP="00265389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La sentencia revoca el fallo que rechazó la demanda de aumento de </w:t>
      </w:r>
      <w:r w:rsidR="00FF7152">
        <w:rPr>
          <w:rFonts w:eastAsia="Times New Roman"/>
          <w:sz w:val="24"/>
          <w:szCs w:val="24"/>
        </w:rPr>
        <w:t xml:space="preserve">pensión de </w:t>
      </w:r>
      <w:r>
        <w:rPr>
          <w:rFonts w:eastAsia="Times New Roman"/>
          <w:sz w:val="24"/>
          <w:szCs w:val="24"/>
        </w:rPr>
        <w:t xml:space="preserve">alimentos, y </w:t>
      </w:r>
      <w:r w:rsidR="00FF7152">
        <w:rPr>
          <w:rFonts w:eastAsia="Times New Roman"/>
          <w:sz w:val="24"/>
          <w:szCs w:val="24"/>
        </w:rPr>
        <w:t>la</w:t>
      </w:r>
      <w:r>
        <w:rPr>
          <w:rFonts w:eastAsia="Times New Roman"/>
          <w:sz w:val="24"/>
          <w:szCs w:val="24"/>
        </w:rPr>
        <w:t xml:space="preserve"> acoge parcialmente, </w:t>
      </w:r>
      <w:r w:rsidRPr="00BB078C">
        <w:rPr>
          <w:rFonts w:eastAsia="Times New Roman"/>
          <w:sz w:val="24"/>
          <w:szCs w:val="24"/>
        </w:rPr>
        <w:t>condenando al demandado a aumentar el monto de la pensión de alimentos fijada</w:t>
      </w:r>
      <w:r>
        <w:rPr>
          <w:rFonts w:eastAsia="Times New Roman"/>
          <w:sz w:val="24"/>
          <w:szCs w:val="24"/>
        </w:rPr>
        <w:t xml:space="preserve"> en el </w:t>
      </w:r>
      <w:r w:rsidRPr="00BB078C">
        <w:rPr>
          <w:rFonts w:eastAsia="Times New Roman"/>
          <w:sz w:val="24"/>
          <w:szCs w:val="24"/>
        </w:rPr>
        <w:t>acta de mediación aprobada por el tribunal</w:t>
      </w:r>
      <w:r>
        <w:rPr>
          <w:rFonts w:eastAsia="Times New Roman"/>
          <w:sz w:val="24"/>
          <w:szCs w:val="24"/>
        </w:rPr>
        <w:t xml:space="preserve">, además de concurrir con el </w:t>
      </w:r>
      <w:r w:rsidRPr="00BB078C">
        <w:rPr>
          <w:rFonts w:eastAsia="Times New Roman"/>
          <w:sz w:val="24"/>
          <w:szCs w:val="24"/>
        </w:rPr>
        <w:t>50 % de los gastos extraordinarios que se susciten respecto de sus hijas.</w:t>
      </w:r>
    </w:p>
    <w:p w14:paraId="14D711E7" w14:textId="77777777" w:rsidR="00FC136C" w:rsidRDefault="00FC136C" w:rsidP="00265389">
      <w:pPr>
        <w:jc w:val="both"/>
        <w:rPr>
          <w:rFonts w:eastAsia="Times New Roman"/>
          <w:sz w:val="24"/>
          <w:szCs w:val="24"/>
        </w:rPr>
      </w:pPr>
    </w:p>
    <w:p w14:paraId="19D69121" w14:textId="77777777" w:rsidR="00FC136C" w:rsidRDefault="00FC136C" w:rsidP="00265389">
      <w:pPr>
        <w:jc w:val="both"/>
        <w:rPr>
          <w:rFonts w:eastAsia="Times New Roman"/>
          <w:sz w:val="24"/>
          <w:szCs w:val="24"/>
        </w:rPr>
      </w:pPr>
    </w:p>
    <w:p w14:paraId="578A5A08" w14:textId="77777777" w:rsidR="00FC136C" w:rsidRDefault="00FC136C" w:rsidP="0026538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/>
          <w:sz w:val="24"/>
          <w:szCs w:val="24"/>
        </w:rPr>
      </w:pPr>
      <w:r w:rsidRPr="00187ECC">
        <w:rPr>
          <w:rFonts w:eastAsia="Times New Roman"/>
          <w:b/>
          <w:sz w:val="24"/>
          <w:szCs w:val="24"/>
        </w:rPr>
        <w:t>HECHOS</w:t>
      </w:r>
    </w:p>
    <w:p w14:paraId="1629DA0B" w14:textId="4504DE9D" w:rsidR="00265389" w:rsidRDefault="00265389" w:rsidP="00265389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Se demanda el aumento de la pensión de alimentos fijada en el año 2018 conforme </w:t>
      </w:r>
      <w:r w:rsidRPr="00265389">
        <w:rPr>
          <w:rFonts w:eastAsia="Times New Roman"/>
          <w:bCs/>
          <w:sz w:val="24"/>
          <w:szCs w:val="24"/>
        </w:rPr>
        <w:t>al acta de mediación aprobada por el tribunal bajo el R</w:t>
      </w:r>
      <w:r w:rsidR="00D41C16">
        <w:rPr>
          <w:rFonts w:eastAsia="Times New Roman"/>
          <w:bCs/>
          <w:sz w:val="24"/>
          <w:szCs w:val="24"/>
        </w:rPr>
        <w:t>IT</w:t>
      </w:r>
      <w:r w:rsidRPr="00265389">
        <w:rPr>
          <w:rFonts w:eastAsia="Times New Roman"/>
          <w:bCs/>
          <w:sz w:val="24"/>
          <w:szCs w:val="24"/>
        </w:rPr>
        <w:t xml:space="preserve"> M-144-18</w:t>
      </w:r>
      <w:r>
        <w:rPr>
          <w:rFonts w:eastAsia="Times New Roman"/>
          <w:bCs/>
          <w:sz w:val="24"/>
          <w:szCs w:val="24"/>
        </w:rPr>
        <w:t xml:space="preserve"> que acordó la </w:t>
      </w:r>
      <w:r w:rsidRPr="00265389">
        <w:rPr>
          <w:rFonts w:eastAsia="Times New Roman"/>
          <w:bCs/>
          <w:sz w:val="24"/>
          <w:szCs w:val="24"/>
        </w:rPr>
        <w:t xml:space="preserve">suma de </w:t>
      </w:r>
      <w:r w:rsidR="00AD7F9A">
        <w:rPr>
          <w:rFonts w:eastAsia="Times New Roman"/>
          <w:bCs/>
          <w:sz w:val="24"/>
          <w:szCs w:val="24"/>
        </w:rPr>
        <w:t>$</w:t>
      </w:r>
      <w:r w:rsidRPr="00265389">
        <w:rPr>
          <w:rFonts w:eastAsia="Times New Roman"/>
          <w:bCs/>
          <w:sz w:val="24"/>
          <w:szCs w:val="24"/>
        </w:rPr>
        <w:t>200</w:t>
      </w:r>
      <w:r w:rsidR="00AD7F9A">
        <w:rPr>
          <w:rFonts w:eastAsia="Times New Roman"/>
          <w:bCs/>
          <w:sz w:val="24"/>
          <w:szCs w:val="24"/>
        </w:rPr>
        <w:t>.000</w:t>
      </w:r>
      <w:r w:rsidRPr="00265389">
        <w:rPr>
          <w:rFonts w:eastAsia="Times New Roman"/>
          <w:bCs/>
          <w:sz w:val="24"/>
          <w:szCs w:val="24"/>
        </w:rPr>
        <w:t xml:space="preserve"> en su equivalente a ingresos mínimos </w:t>
      </w:r>
      <w:r w:rsidR="00D41C16" w:rsidRPr="00265389">
        <w:rPr>
          <w:rFonts w:eastAsia="Times New Roman"/>
          <w:bCs/>
          <w:sz w:val="24"/>
          <w:szCs w:val="24"/>
        </w:rPr>
        <w:t>remuneracion</w:t>
      </w:r>
      <w:r w:rsidR="00D41C16">
        <w:rPr>
          <w:rFonts w:eastAsia="Times New Roman"/>
          <w:bCs/>
          <w:sz w:val="24"/>
          <w:szCs w:val="24"/>
        </w:rPr>
        <w:t>ales.</w:t>
      </w:r>
    </w:p>
    <w:p w14:paraId="6E62DC64" w14:textId="2A5D249F" w:rsidR="00265389" w:rsidRDefault="00265389" w:rsidP="00265389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Dicha acta de mediación </w:t>
      </w:r>
      <w:r w:rsidRPr="00265389">
        <w:rPr>
          <w:rFonts w:eastAsia="Times New Roman"/>
          <w:bCs/>
          <w:sz w:val="24"/>
          <w:szCs w:val="24"/>
        </w:rPr>
        <w:t>no contiene una descripción de las condiciones de las partes tenidas al tiempo de la fijación de dicha pensión, en especial, la capacidad de los progenitores y necesidades económicas de las alimentarias</w:t>
      </w:r>
      <w:r>
        <w:rPr>
          <w:rFonts w:eastAsia="Times New Roman"/>
          <w:bCs/>
          <w:sz w:val="24"/>
          <w:szCs w:val="24"/>
        </w:rPr>
        <w:t>.</w:t>
      </w:r>
    </w:p>
    <w:p w14:paraId="4B9A3A4C" w14:textId="09F7B1C0" w:rsidR="00D41C16" w:rsidRDefault="00265389" w:rsidP="00D41C16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La demandante acompaña documentos que acreditan que ella y las alimentarias pertenecen al </w:t>
      </w:r>
      <w:r w:rsidRPr="00265389">
        <w:rPr>
          <w:rFonts w:eastAsia="Times New Roman"/>
          <w:bCs/>
          <w:sz w:val="24"/>
          <w:szCs w:val="24"/>
        </w:rPr>
        <w:t>40% de las familias de menores</w:t>
      </w:r>
      <w:r w:rsidR="00D41C16">
        <w:rPr>
          <w:rFonts w:eastAsia="Times New Roman"/>
          <w:bCs/>
          <w:sz w:val="24"/>
          <w:szCs w:val="24"/>
        </w:rPr>
        <w:t xml:space="preserve"> recursos</w:t>
      </w:r>
      <w:r>
        <w:rPr>
          <w:rFonts w:eastAsia="Times New Roman"/>
          <w:bCs/>
          <w:sz w:val="24"/>
          <w:szCs w:val="24"/>
        </w:rPr>
        <w:t xml:space="preserve">, siendo acreedora de beneficios estatales del </w:t>
      </w:r>
      <w:r w:rsidRPr="00265389">
        <w:rPr>
          <w:rFonts w:eastAsia="Times New Roman"/>
          <w:bCs/>
          <w:sz w:val="24"/>
          <w:szCs w:val="24"/>
        </w:rPr>
        <w:t xml:space="preserve">Ministerio de Desarrollo Social y Familia </w:t>
      </w:r>
      <w:r w:rsidR="00D41C16">
        <w:rPr>
          <w:rFonts w:eastAsia="Times New Roman"/>
          <w:bCs/>
          <w:sz w:val="24"/>
          <w:szCs w:val="24"/>
        </w:rPr>
        <w:t xml:space="preserve">a partir del año </w:t>
      </w:r>
      <w:r w:rsidR="00D41C16">
        <w:rPr>
          <w:rFonts w:eastAsia="Times New Roman"/>
          <w:bCs/>
          <w:sz w:val="24"/>
          <w:szCs w:val="24"/>
        </w:rPr>
        <w:lastRenderedPageBreak/>
        <w:t>2022.</w:t>
      </w:r>
      <w:r w:rsidR="00FF7152">
        <w:rPr>
          <w:rFonts w:eastAsia="Times New Roman"/>
          <w:bCs/>
          <w:sz w:val="24"/>
          <w:szCs w:val="24"/>
        </w:rPr>
        <w:t xml:space="preserve"> </w:t>
      </w:r>
      <w:r w:rsidR="00D41C16">
        <w:rPr>
          <w:rFonts w:eastAsia="Times New Roman"/>
          <w:bCs/>
          <w:sz w:val="24"/>
          <w:szCs w:val="24"/>
        </w:rPr>
        <w:t xml:space="preserve">Además, el informe situacional emitido por la Escuela a la que asisten las niñas señala que no cancelan escolaridad, salvo </w:t>
      </w:r>
      <w:r w:rsidR="00D41C16" w:rsidRPr="00D41C16">
        <w:rPr>
          <w:rFonts w:eastAsia="Times New Roman"/>
          <w:bCs/>
          <w:sz w:val="24"/>
          <w:szCs w:val="24"/>
        </w:rPr>
        <w:t>el concepto de cuotas del Centro general de padres y apoderados, más la cuota acordada para organizar un paseo de fin de año.</w:t>
      </w:r>
      <w:r w:rsidR="00D41C16">
        <w:rPr>
          <w:rFonts w:eastAsia="Times New Roman"/>
          <w:bCs/>
          <w:sz w:val="24"/>
          <w:szCs w:val="24"/>
        </w:rPr>
        <w:t xml:space="preserve"> Las niñas son beneficiarias del </w:t>
      </w:r>
      <w:r w:rsidR="00D41C16" w:rsidRPr="00D41C16">
        <w:rPr>
          <w:rFonts w:eastAsia="Times New Roman"/>
          <w:bCs/>
          <w:sz w:val="24"/>
          <w:szCs w:val="24"/>
        </w:rPr>
        <w:t xml:space="preserve">programa de alimentación otorgado por </w:t>
      </w:r>
      <w:proofErr w:type="spellStart"/>
      <w:r w:rsidR="00D41C16" w:rsidRPr="00D41C16">
        <w:rPr>
          <w:rFonts w:eastAsia="Times New Roman"/>
          <w:bCs/>
          <w:sz w:val="24"/>
          <w:szCs w:val="24"/>
        </w:rPr>
        <w:t>Junaeb</w:t>
      </w:r>
      <w:proofErr w:type="spellEnd"/>
      <w:r w:rsidR="00D41C16">
        <w:rPr>
          <w:rFonts w:eastAsia="Times New Roman"/>
          <w:bCs/>
          <w:sz w:val="24"/>
          <w:szCs w:val="24"/>
        </w:rPr>
        <w:t xml:space="preserve">, pero </w:t>
      </w:r>
      <w:r w:rsidR="00D41C16" w:rsidRPr="00D41C16">
        <w:rPr>
          <w:rFonts w:eastAsia="Times New Roman"/>
          <w:bCs/>
          <w:sz w:val="24"/>
          <w:szCs w:val="24"/>
        </w:rPr>
        <w:t>no son beneficiarias de movilización municipal</w:t>
      </w:r>
      <w:r w:rsidR="00D41C16">
        <w:rPr>
          <w:rFonts w:eastAsia="Times New Roman"/>
          <w:bCs/>
          <w:sz w:val="24"/>
          <w:szCs w:val="24"/>
        </w:rPr>
        <w:t>.</w:t>
      </w:r>
    </w:p>
    <w:p w14:paraId="7DE95250" w14:textId="0EEEB066" w:rsidR="00702F15" w:rsidRDefault="00702F15" w:rsidP="00D41C16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Las pruebas señaladas dan cuenta a la Corte de que </w:t>
      </w:r>
      <w:r w:rsidRPr="00702F15">
        <w:rPr>
          <w:rFonts w:eastAsia="Times New Roman"/>
          <w:bCs/>
          <w:sz w:val="24"/>
          <w:szCs w:val="24"/>
        </w:rPr>
        <w:t>las niñas presentan necesidades que deben ser solventadas por su familia, que se trata de un grupo de escasos recursos y que requieren con urgencia de un mayor apoyo de sus progenitores</w:t>
      </w:r>
      <w:r>
        <w:rPr>
          <w:rFonts w:eastAsia="Times New Roman"/>
          <w:bCs/>
          <w:sz w:val="24"/>
          <w:szCs w:val="24"/>
        </w:rPr>
        <w:t>.</w:t>
      </w:r>
    </w:p>
    <w:p w14:paraId="70D0F153" w14:textId="1FD3EB4C" w:rsidR="00702F15" w:rsidRDefault="00702F15" w:rsidP="00D41C16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En cuanto a la capacidad patrimonial de los </w:t>
      </w:r>
      <w:r w:rsidR="00AD7F9A">
        <w:rPr>
          <w:rFonts w:eastAsia="Times New Roman"/>
          <w:bCs/>
          <w:sz w:val="24"/>
          <w:szCs w:val="24"/>
        </w:rPr>
        <w:t xml:space="preserve">litigantes, el informe social de la demandante </w:t>
      </w:r>
      <w:r w:rsidR="00AD7F9A" w:rsidRPr="00AD7F9A">
        <w:rPr>
          <w:rFonts w:eastAsia="Times New Roman"/>
          <w:bCs/>
          <w:sz w:val="24"/>
          <w:szCs w:val="24"/>
        </w:rPr>
        <w:t>da cuenta que sus ingresos no superan la mitad de aquellos percibidos por el demandado.</w:t>
      </w:r>
      <w:r w:rsidR="00AD7F9A">
        <w:rPr>
          <w:rFonts w:eastAsia="Times New Roman"/>
          <w:bCs/>
          <w:sz w:val="24"/>
          <w:szCs w:val="24"/>
        </w:rPr>
        <w:t xml:space="preserve"> L</w:t>
      </w:r>
      <w:r w:rsidR="00AD7F9A" w:rsidRPr="00AD7F9A">
        <w:rPr>
          <w:rFonts w:eastAsia="Times New Roman"/>
          <w:bCs/>
          <w:sz w:val="24"/>
          <w:szCs w:val="24"/>
        </w:rPr>
        <w:t>a remuneración percibida por la actora asciende a $200.000</w:t>
      </w:r>
      <w:r w:rsidR="00AD7F9A">
        <w:rPr>
          <w:rFonts w:eastAsia="Times New Roman"/>
          <w:bCs/>
          <w:sz w:val="24"/>
          <w:szCs w:val="24"/>
        </w:rPr>
        <w:t xml:space="preserve"> </w:t>
      </w:r>
      <w:r w:rsidR="00AD7F9A" w:rsidRPr="00AD7F9A">
        <w:rPr>
          <w:rFonts w:eastAsia="Times New Roman"/>
          <w:bCs/>
          <w:sz w:val="24"/>
          <w:szCs w:val="24"/>
        </w:rPr>
        <w:t>y la del actor, según su contrato exhibido, a $560.000.</w:t>
      </w:r>
      <w:r w:rsidR="00AD7F9A">
        <w:rPr>
          <w:rFonts w:eastAsia="Times New Roman"/>
          <w:bCs/>
          <w:sz w:val="24"/>
          <w:szCs w:val="24"/>
        </w:rPr>
        <w:t xml:space="preserve"> Además, tomando en cuenta la cotizaciones previsionales del demandado, su remuneración es el doble a aquella. </w:t>
      </w:r>
    </w:p>
    <w:p w14:paraId="21822D09" w14:textId="142E3B87" w:rsidR="00AD7F9A" w:rsidRPr="00AD7F9A" w:rsidRDefault="00FC136C" w:rsidP="00AD7F9A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/>
          <w:sz w:val="24"/>
          <w:szCs w:val="24"/>
        </w:rPr>
      </w:pPr>
      <w:r w:rsidRPr="00D41C16">
        <w:rPr>
          <w:rFonts w:eastAsia="Times New Roman"/>
          <w:b/>
          <w:sz w:val="24"/>
          <w:szCs w:val="24"/>
        </w:rPr>
        <w:t>DERECHO</w:t>
      </w:r>
    </w:p>
    <w:p w14:paraId="4BC098EE" w14:textId="2B81E088" w:rsidR="00AD7F9A" w:rsidRDefault="00F43753" w:rsidP="00AD7F9A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La Corte sostiene que </w:t>
      </w:r>
      <w:r w:rsidR="00AD7F9A">
        <w:rPr>
          <w:rFonts w:eastAsia="Times New Roman"/>
          <w:bCs/>
          <w:sz w:val="24"/>
          <w:szCs w:val="24"/>
        </w:rPr>
        <w:t xml:space="preserve">el </w:t>
      </w:r>
      <w:r w:rsidR="00AD7F9A" w:rsidRPr="00AD7F9A">
        <w:rPr>
          <w:rFonts w:eastAsia="Times New Roman"/>
          <w:bCs/>
          <w:sz w:val="24"/>
          <w:szCs w:val="24"/>
        </w:rPr>
        <w:t>monto que debe pagar el progenitor en favor de sus hijas-alimentarias</w:t>
      </w:r>
      <w:r w:rsidR="00AD7F9A">
        <w:rPr>
          <w:rFonts w:eastAsia="Times New Roman"/>
          <w:bCs/>
          <w:sz w:val="24"/>
          <w:szCs w:val="24"/>
        </w:rPr>
        <w:t xml:space="preserve"> fijado en el acta de mediación</w:t>
      </w:r>
      <w:r w:rsidR="00AD7F9A" w:rsidRPr="00AD7F9A">
        <w:rPr>
          <w:rFonts w:eastAsia="Times New Roman"/>
          <w:bCs/>
          <w:sz w:val="24"/>
          <w:szCs w:val="24"/>
        </w:rPr>
        <w:t xml:space="preserve"> no satisface el porcentaje económico que le corresponde, considerando en particular que las niñas están siendo mantenidas con apoyo estatal contando con un padre con suficiente renta para mejorar su aporte.</w:t>
      </w:r>
    </w:p>
    <w:p w14:paraId="527DB796" w14:textId="01B49308" w:rsidR="00C231B8" w:rsidRDefault="00C231B8" w:rsidP="00AD7F9A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 xml:space="preserve">Debe acreditarse </w:t>
      </w:r>
      <w:r w:rsidRPr="00C231B8">
        <w:rPr>
          <w:rFonts w:eastAsia="Times New Roman"/>
          <w:bCs/>
          <w:sz w:val="24"/>
          <w:szCs w:val="24"/>
        </w:rPr>
        <w:t>un cambio sustancial en las condiciones vigentes al tiempo de su fijación</w:t>
      </w:r>
      <w:r>
        <w:rPr>
          <w:rFonts w:eastAsia="Times New Roman"/>
          <w:bCs/>
          <w:sz w:val="24"/>
          <w:szCs w:val="24"/>
        </w:rPr>
        <w:t xml:space="preserve"> para otorgar un aumento de alimentos, como expresa el artículo 332 del Código Civil.</w:t>
      </w:r>
    </w:p>
    <w:p w14:paraId="2B82DB73" w14:textId="639675F8" w:rsidR="00BF19B3" w:rsidRDefault="00C231B8" w:rsidP="00AD7F9A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i/>
          <w:i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>Finalmente, e</w:t>
      </w:r>
      <w:r w:rsidR="00BF19B3">
        <w:rPr>
          <w:rFonts w:eastAsia="Times New Roman"/>
          <w:bCs/>
          <w:sz w:val="24"/>
          <w:szCs w:val="24"/>
        </w:rPr>
        <w:t xml:space="preserve">n virtud del artículo 6 inciso segundo de la Ley </w:t>
      </w:r>
      <w:r w:rsidR="00FF7152">
        <w:rPr>
          <w:rFonts w:eastAsia="Times New Roman"/>
          <w:bCs/>
          <w:sz w:val="24"/>
          <w:szCs w:val="24"/>
        </w:rPr>
        <w:t>N°</w:t>
      </w:r>
      <w:r w:rsidR="00BF19B3">
        <w:rPr>
          <w:rFonts w:eastAsia="Times New Roman"/>
          <w:bCs/>
          <w:sz w:val="24"/>
          <w:szCs w:val="24"/>
        </w:rPr>
        <w:t xml:space="preserve">14.908, corresponde que al momento de fijar los alimentos </w:t>
      </w:r>
      <w:r w:rsidR="00F43753">
        <w:rPr>
          <w:rFonts w:eastAsia="Times New Roman"/>
          <w:bCs/>
          <w:sz w:val="24"/>
          <w:szCs w:val="24"/>
        </w:rPr>
        <w:t xml:space="preserve">se deben </w:t>
      </w:r>
      <w:r w:rsidR="00BF19B3">
        <w:rPr>
          <w:rFonts w:eastAsia="Times New Roman"/>
          <w:bCs/>
          <w:sz w:val="24"/>
          <w:szCs w:val="24"/>
        </w:rPr>
        <w:t>incorporar aquellos conocidos como gastos extraordinarios</w:t>
      </w:r>
      <w:r w:rsidR="00BF19B3" w:rsidRPr="00BF19B3">
        <w:rPr>
          <w:rFonts w:eastAsia="Times New Roman"/>
          <w:bCs/>
          <w:i/>
          <w:iCs/>
          <w:sz w:val="24"/>
          <w:szCs w:val="24"/>
        </w:rPr>
        <w:t>, “entendiéndose por tales aquellas necesidades que surgen con posterioridad y cuya existencia no era posible prever”</w:t>
      </w:r>
      <w:r w:rsidR="00BF19B3">
        <w:rPr>
          <w:rFonts w:eastAsia="Times New Roman"/>
          <w:bCs/>
          <w:i/>
          <w:iCs/>
          <w:sz w:val="24"/>
          <w:szCs w:val="24"/>
        </w:rPr>
        <w:t>.</w:t>
      </w:r>
    </w:p>
    <w:p w14:paraId="3BB4DFD5" w14:textId="4231BAF1" w:rsidR="00F7650F" w:rsidRPr="00F7650F" w:rsidRDefault="00F7650F" w:rsidP="00F7650F">
      <w:pPr>
        <w:pStyle w:val="Prrafodelista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/>
          <w:sz w:val="24"/>
          <w:szCs w:val="24"/>
        </w:rPr>
      </w:pPr>
      <w:r w:rsidRPr="00F7650F">
        <w:rPr>
          <w:rFonts w:eastAsia="Times New Roman"/>
          <w:b/>
          <w:sz w:val="24"/>
          <w:szCs w:val="24"/>
        </w:rPr>
        <w:t>OPINIÓN CRÍTICA DEL FALLO</w:t>
      </w:r>
    </w:p>
    <w:p w14:paraId="5D6C2207" w14:textId="7E29F288" w:rsidR="00F7650F" w:rsidRDefault="00FF7152" w:rsidP="00702F15">
      <w:pPr>
        <w:pBdr>
          <w:top w:val="nil"/>
          <w:left w:val="nil"/>
          <w:bottom w:val="nil"/>
          <w:right w:val="nil"/>
          <w:between w:val="nil"/>
        </w:pBdr>
        <w:spacing w:after="160" w:line="276" w:lineRule="auto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>L</w:t>
      </w:r>
      <w:r w:rsidR="00995E1B">
        <w:rPr>
          <w:rFonts w:eastAsia="Times New Roman"/>
          <w:bCs/>
          <w:sz w:val="24"/>
          <w:szCs w:val="24"/>
        </w:rPr>
        <w:t xml:space="preserve">a deficiencia al proveer los antecedentes en cuanto a la capacidad de los progenitores y las necesidades económicas de las alimentarias </w:t>
      </w:r>
      <w:r w:rsidR="005670D0">
        <w:rPr>
          <w:rFonts w:eastAsia="Times New Roman"/>
          <w:bCs/>
          <w:sz w:val="24"/>
          <w:szCs w:val="24"/>
        </w:rPr>
        <w:t xml:space="preserve">obstruyó </w:t>
      </w:r>
      <w:r w:rsidR="009350E1">
        <w:rPr>
          <w:rFonts w:eastAsia="Times New Roman"/>
          <w:bCs/>
          <w:sz w:val="24"/>
          <w:szCs w:val="24"/>
        </w:rPr>
        <w:t>un correcto</w:t>
      </w:r>
      <w:r w:rsidR="00B03331">
        <w:rPr>
          <w:rFonts w:eastAsia="Times New Roman"/>
          <w:bCs/>
          <w:sz w:val="24"/>
          <w:szCs w:val="24"/>
        </w:rPr>
        <w:t xml:space="preserve"> proceso de </w:t>
      </w:r>
      <w:r w:rsidR="005670D0">
        <w:rPr>
          <w:rFonts w:eastAsia="Times New Roman"/>
          <w:bCs/>
          <w:sz w:val="24"/>
          <w:szCs w:val="24"/>
        </w:rPr>
        <w:t>mediación</w:t>
      </w:r>
      <w:r w:rsidR="009350E1">
        <w:rPr>
          <w:rFonts w:eastAsia="Times New Roman"/>
          <w:bCs/>
          <w:sz w:val="24"/>
          <w:szCs w:val="24"/>
        </w:rPr>
        <w:t xml:space="preserve">, el cual es </w:t>
      </w:r>
      <w:r w:rsidR="005670D0">
        <w:rPr>
          <w:rFonts w:eastAsia="Times New Roman"/>
          <w:bCs/>
          <w:sz w:val="24"/>
          <w:szCs w:val="24"/>
        </w:rPr>
        <w:t>obligatorio previo al juicio de alimentos</w:t>
      </w:r>
      <w:r w:rsidR="00E219BC">
        <w:rPr>
          <w:rFonts w:eastAsia="Times New Roman"/>
          <w:bCs/>
          <w:sz w:val="24"/>
          <w:szCs w:val="24"/>
        </w:rPr>
        <w:t xml:space="preserve"> </w:t>
      </w:r>
      <w:r w:rsidR="009350E1">
        <w:rPr>
          <w:rFonts w:eastAsia="Times New Roman"/>
          <w:bCs/>
          <w:sz w:val="24"/>
          <w:szCs w:val="24"/>
        </w:rPr>
        <w:t>según se establece en</w:t>
      </w:r>
      <w:r w:rsidR="005670D0">
        <w:rPr>
          <w:rFonts w:eastAsia="Times New Roman"/>
          <w:bCs/>
          <w:sz w:val="24"/>
          <w:szCs w:val="24"/>
        </w:rPr>
        <w:t xml:space="preserve"> el artículo 106 de la Ley </w:t>
      </w:r>
      <w:r>
        <w:rPr>
          <w:rFonts w:eastAsia="Times New Roman"/>
          <w:bCs/>
          <w:sz w:val="24"/>
          <w:szCs w:val="24"/>
        </w:rPr>
        <w:t>N°</w:t>
      </w:r>
      <w:r w:rsidR="005670D0">
        <w:rPr>
          <w:rFonts w:eastAsia="Times New Roman"/>
          <w:bCs/>
          <w:sz w:val="24"/>
          <w:szCs w:val="24"/>
        </w:rPr>
        <w:t>19.968</w:t>
      </w:r>
      <w:r w:rsidR="00B03331">
        <w:rPr>
          <w:rFonts w:eastAsia="Times New Roman"/>
          <w:bCs/>
          <w:sz w:val="24"/>
          <w:szCs w:val="24"/>
        </w:rPr>
        <w:t xml:space="preserve">, perjudicando la protección del </w:t>
      </w:r>
      <w:r w:rsidR="00B03331">
        <w:rPr>
          <w:rFonts w:eastAsia="Times New Roman"/>
          <w:bCs/>
          <w:sz w:val="24"/>
          <w:szCs w:val="24"/>
        </w:rPr>
        <w:lastRenderedPageBreak/>
        <w:t>interés superior de</w:t>
      </w:r>
      <w:r w:rsidR="00380406">
        <w:rPr>
          <w:rFonts w:eastAsia="Times New Roman"/>
          <w:bCs/>
          <w:sz w:val="24"/>
          <w:szCs w:val="24"/>
        </w:rPr>
        <w:t xml:space="preserve"> las NNA</w:t>
      </w:r>
      <w:r w:rsidR="00B03331">
        <w:rPr>
          <w:rFonts w:eastAsia="Times New Roman"/>
          <w:bCs/>
          <w:sz w:val="24"/>
          <w:szCs w:val="24"/>
        </w:rPr>
        <w:t xml:space="preserve"> y </w:t>
      </w:r>
      <w:r w:rsidR="00380406">
        <w:rPr>
          <w:rFonts w:eastAsia="Times New Roman"/>
          <w:bCs/>
          <w:sz w:val="24"/>
          <w:szCs w:val="24"/>
        </w:rPr>
        <w:t>su desarrollo integral, de conformidad con el artículo 323 del Código Civil</w:t>
      </w:r>
      <w:r w:rsidR="00F7650F">
        <w:rPr>
          <w:rFonts w:eastAsia="Times New Roman"/>
          <w:bCs/>
          <w:sz w:val="24"/>
          <w:szCs w:val="24"/>
        </w:rPr>
        <w:t>.</w:t>
      </w:r>
      <w:r>
        <w:rPr>
          <w:rFonts w:eastAsia="Times New Roman"/>
          <w:bCs/>
          <w:sz w:val="24"/>
          <w:szCs w:val="24"/>
        </w:rPr>
        <w:t xml:space="preserve"> Resulta fundamental que los centros de mediación sean debidamente supervisados, ya que </w:t>
      </w:r>
      <w:r w:rsidR="0062119F">
        <w:rPr>
          <w:rFonts w:eastAsia="Times New Roman"/>
          <w:bCs/>
          <w:sz w:val="24"/>
          <w:szCs w:val="24"/>
        </w:rPr>
        <w:t>puede ocurrir, como en el caso en comento, que se realice un proceso de mediación sin exigir la in</w:t>
      </w:r>
      <w:r w:rsidR="001204C7">
        <w:rPr>
          <w:rFonts w:eastAsia="Times New Roman"/>
          <w:bCs/>
          <w:sz w:val="24"/>
          <w:szCs w:val="24"/>
        </w:rPr>
        <w:t xml:space="preserve">formación suficiente para ello, lo que demuestra la falta de profesionalismo de algunos mediadores/as en ésta área del derecho. </w:t>
      </w:r>
      <w:bookmarkStart w:id="0" w:name="_GoBack"/>
      <w:bookmarkEnd w:id="0"/>
    </w:p>
    <w:p w14:paraId="0BE1EE45" w14:textId="77777777" w:rsidR="00FC136C" w:rsidRPr="00777C94" w:rsidRDefault="00FC136C" w:rsidP="00265389">
      <w:pPr>
        <w:jc w:val="both"/>
        <w:rPr>
          <w:sz w:val="24"/>
          <w:szCs w:val="24"/>
        </w:rPr>
      </w:pPr>
    </w:p>
    <w:p w14:paraId="46138D8A" w14:textId="77777777" w:rsidR="00EA507B" w:rsidRDefault="00EA507B" w:rsidP="00265389">
      <w:pPr>
        <w:jc w:val="both"/>
      </w:pPr>
    </w:p>
    <w:sectPr w:rsidR="00EA507B" w:rsidSect="00221405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2C84E7" w14:textId="77777777" w:rsidR="007D7FA1" w:rsidRDefault="007D7FA1">
      <w:r>
        <w:separator/>
      </w:r>
    </w:p>
  </w:endnote>
  <w:endnote w:type="continuationSeparator" w:id="0">
    <w:p w14:paraId="0C300B93" w14:textId="77777777" w:rsidR="007D7FA1" w:rsidRDefault="007D7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E6E5FD" w14:textId="77777777" w:rsidR="007D7FA1" w:rsidRDefault="007D7FA1">
      <w:r>
        <w:separator/>
      </w:r>
    </w:p>
  </w:footnote>
  <w:footnote w:type="continuationSeparator" w:id="0">
    <w:p w14:paraId="0771E342" w14:textId="77777777" w:rsidR="007D7FA1" w:rsidRDefault="007D7F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7E748D" w14:textId="77777777" w:rsidR="007B28B3" w:rsidRPr="00777C94" w:rsidRDefault="007D7FA1" w:rsidP="00777C94">
    <w:pPr>
      <w:tabs>
        <w:tab w:val="center" w:pos="4419"/>
        <w:tab w:val="right" w:pos="8789"/>
      </w:tabs>
      <w:ind w:right="-518"/>
      <w:jc w:val="right"/>
      <w:rPr>
        <w:rFonts w:ascii="Calibri" w:eastAsia="Calibri" w:hAnsi="Calibri" w:cs="Calibri"/>
        <w:color w:val="auto"/>
        <w:kern w:val="0"/>
        <w:lang w:val="es-ES" w:eastAsia="es-CL"/>
        <w14:ligatures w14:val="none"/>
      </w:rPr>
    </w:pPr>
    <w:r>
      <w:rPr>
        <w:noProof/>
        <w:lang w:val="es-CL" w:eastAsia="es-CL"/>
      </w:rPr>
      <w:drawing>
        <wp:inline distT="0" distB="0" distL="0" distR="0" wp14:anchorId="5CF6F59D" wp14:editId="093965ED">
          <wp:extent cx="993775" cy="1120775"/>
          <wp:effectExtent l="0" t="0" r="0" b="3175"/>
          <wp:docPr id="2" name="image2.png" descr="Imagen que contiene Text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.png" descr="Imagen que contiene Texto&#10;&#10;Descripción generada automáticamente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93775" cy="11207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F4A3ADD" w14:textId="77777777" w:rsidR="007B28B3" w:rsidRDefault="007B28B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BC5F1A"/>
    <w:multiLevelType w:val="hybridMultilevel"/>
    <w:tmpl w:val="73528D10"/>
    <w:lvl w:ilvl="0" w:tplc="04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36C"/>
    <w:rsid w:val="00031C38"/>
    <w:rsid w:val="00057966"/>
    <w:rsid w:val="000643B0"/>
    <w:rsid w:val="000B3BAA"/>
    <w:rsid w:val="001204C7"/>
    <w:rsid w:val="001A7329"/>
    <w:rsid w:val="00221405"/>
    <w:rsid w:val="00265389"/>
    <w:rsid w:val="003579B2"/>
    <w:rsid w:val="00380406"/>
    <w:rsid w:val="00420D02"/>
    <w:rsid w:val="0044547F"/>
    <w:rsid w:val="005670D0"/>
    <w:rsid w:val="0062119F"/>
    <w:rsid w:val="00702F15"/>
    <w:rsid w:val="007B28B3"/>
    <w:rsid w:val="007D7FA1"/>
    <w:rsid w:val="009350E1"/>
    <w:rsid w:val="00995E1B"/>
    <w:rsid w:val="00AD7F9A"/>
    <w:rsid w:val="00B03331"/>
    <w:rsid w:val="00BB078C"/>
    <w:rsid w:val="00BC4CE4"/>
    <w:rsid w:val="00BF19B3"/>
    <w:rsid w:val="00C231B8"/>
    <w:rsid w:val="00CC28C7"/>
    <w:rsid w:val="00D41C16"/>
    <w:rsid w:val="00E219BC"/>
    <w:rsid w:val="00EA507B"/>
    <w:rsid w:val="00F07878"/>
    <w:rsid w:val="00F43753"/>
    <w:rsid w:val="00F712FB"/>
    <w:rsid w:val="00F7650F"/>
    <w:rsid w:val="00FC136C"/>
    <w:rsid w:val="00FF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F7A78"/>
  <w15:chartTrackingRefBased/>
  <w15:docId w15:val="{3D0A27C4-4445-FF46-94DD-D59212653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Courier New"/>
        <w:color w:val="000000"/>
        <w:kern w:val="2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136C"/>
    <w:rPr>
      <w:rFonts w:ascii="Arial" w:hAnsi="Arial" w:cs="Arial"/>
      <w:sz w:val="22"/>
      <w:szCs w:val="22"/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FC13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C13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C136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136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136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136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136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136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136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C136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C136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C136C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136C"/>
    <w:rPr>
      <w:rFonts w:asciiTheme="minorHAnsi" w:eastAsiaTheme="majorEastAsia" w:hAnsiTheme="minorHAnsi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136C"/>
    <w:rPr>
      <w:rFonts w:asciiTheme="minorHAnsi" w:eastAsiaTheme="majorEastAsia" w:hAnsiTheme="minorHAnsi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136C"/>
    <w:rPr>
      <w:rFonts w:asciiTheme="minorHAnsi" w:eastAsiaTheme="majorEastAsia" w:hAnsiTheme="minorHAnsi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136C"/>
    <w:rPr>
      <w:rFonts w:asciiTheme="minorHAnsi" w:eastAsiaTheme="majorEastAsia" w:hAnsiTheme="minorHAnsi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136C"/>
    <w:rPr>
      <w:rFonts w:asciiTheme="minorHAnsi" w:eastAsiaTheme="majorEastAsia" w:hAnsiTheme="minorHAnsi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136C"/>
    <w:rPr>
      <w:rFonts w:asciiTheme="minorHAnsi" w:eastAsiaTheme="majorEastAsia" w:hAnsiTheme="minorHAnsi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FC136C"/>
    <w:pPr>
      <w:spacing w:after="80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C136C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FC136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C136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FC136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C136C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FC136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C136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13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136C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FC136C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FC13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C136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C136C"/>
    <w:rPr>
      <w:rFonts w:ascii="Arial" w:hAnsi="Arial" w:cs="Arial"/>
      <w:sz w:val="22"/>
      <w:szCs w:val="22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5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42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741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86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5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47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87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10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60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94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34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539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5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8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57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074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10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852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15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5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416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677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597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56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125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61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1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48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0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50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457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33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12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05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65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88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299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48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35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21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50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7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996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98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407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235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53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0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541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428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786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98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936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85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98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56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7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4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888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564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27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146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48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85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52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5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9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275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560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10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6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74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75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858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64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64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87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860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771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617</Words>
  <Characters>3394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Rosario Andrea Chávez Cifuentes (rosario.chavez)</dc:creator>
  <cp:keywords/>
  <dc:description/>
  <cp:lastModifiedBy>Valeria Sepúlveda</cp:lastModifiedBy>
  <cp:revision>11</cp:revision>
  <dcterms:created xsi:type="dcterms:W3CDTF">2024-01-18T13:43:00Z</dcterms:created>
  <dcterms:modified xsi:type="dcterms:W3CDTF">2024-01-22T15:45:00Z</dcterms:modified>
</cp:coreProperties>
</file>