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B11C9" w14:textId="77777777" w:rsidR="00234007" w:rsidRPr="00805848" w:rsidRDefault="00187ECC" w:rsidP="007D1C3C">
      <w:pPr>
        <w:pBdr>
          <w:top w:val="nil"/>
          <w:left w:val="nil"/>
          <w:bottom w:val="nil"/>
          <w:right w:val="nil"/>
          <w:between w:val="nil"/>
        </w:pBdr>
        <w:spacing w:line="360" w:lineRule="auto"/>
        <w:jc w:val="center"/>
        <w:rPr>
          <w:rFonts w:ascii="Arial" w:eastAsia="Times New Roman" w:hAnsi="Arial" w:cs="Arial"/>
          <w:b/>
          <w:color w:val="000000"/>
          <w:sz w:val="24"/>
          <w:szCs w:val="24"/>
        </w:rPr>
      </w:pPr>
      <w:r w:rsidRPr="00805848">
        <w:rPr>
          <w:rFonts w:ascii="Arial" w:eastAsia="Times New Roman" w:hAnsi="Arial" w:cs="Arial"/>
          <w:b/>
          <w:color w:val="000000"/>
          <w:sz w:val="24"/>
          <w:szCs w:val="24"/>
        </w:rPr>
        <w:t>Observatorio Jurisprudencial</w:t>
      </w:r>
    </w:p>
    <w:p w14:paraId="2AB334A8" w14:textId="24A0A5A5" w:rsidR="002B0BCD" w:rsidRPr="00805848" w:rsidRDefault="00187ECC" w:rsidP="007D1C3C">
      <w:pPr>
        <w:pBdr>
          <w:top w:val="nil"/>
          <w:left w:val="nil"/>
          <w:bottom w:val="nil"/>
          <w:right w:val="nil"/>
          <w:between w:val="nil"/>
        </w:pBdr>
        <w:spacing w:line="360" w:lineRule="auto"/>
        <w:jc w:val="center"/>
        <w:rPr>
          <w:rFonts w:ascii="Arial" w:eastAsia="Times New Roman" w:hAnsi="Arial" w:cs="Arial"/>
          <w:b/>
          <w:color w:val="000000"/>
          <w:sz w:val="24"/>
          <w:szCs w:val="24"/>
        </w:rPr>
      </w:pPr>
      <w:r w:rsidRPr="00805848">
        <w:rPr>
          <w:rFonts w:ascii="Arial" w:eastAsia="Times New Roman" w:hAnsi="Arial" w:cs="Arial"/>
          <w:color w:val="000000"/>
          <w:sz w:val="24"/>
          <w:szCs w:val="24"/>
        </w:rPr>
        <w:t>Programa Persona, Familias y Derecho</w:t>
      </w:r>
    </w:p>
    <w:tbl>
      <w:tblPr>
        <w:tblStyle w:val="Tablaconcuadrcula1"/>
        <w:tblpPr w:leftFromText="141" w:rightFromText="141" w:vertAnchor="text" w:horzAnchor="margin" w:tblpY="-54"/>
        <w:tblW w:w="8828" w:type="dxa"/>
        <w:tblLook w:val="04A0" w:firstRow="1" w:lastRow="0" w:firstColumn="1" w:lastColumn="0" w:noHBand="0" w:noVBand="1"/>
      </w:tblPr>
      <w:tblGrid>
        <w:gridCol w:w="4414"/>
        <w:gridCol w:w="4414"/>
      </w:tblGrid>
      <w:tr w:rsidR="00950D42" w:rsidRPr="00805848" w14:paraId="3838E09C" w14:textId="77777777" w:rsidTr="00950D42">
        <w:tc>
          <w:tcPr>
            <w:tcW w:w="4414" w:type="dxa"/>
          </w:tcPr>
          <w:p w14:paraId="73C40EBF" w14:textId="77777777" w:rsidR="00950D42" w:rsidRPr="00805848" w:rsidRDefault="00950D42" w:rsidP="007D1C3C">
            <w:pPr>
              <w:spacing w:line="360" w:lineRule="auto"/>
              <w:jc w:val="both"/>
              <w:rPr>
                <w:rFonts w:ascii="Arial" w:hAnsi="Arial" w:cs="Arial"/>
                <w:b/>
                <w:bCs/>
                <w:sz w:val="24"/>
                <w:lang w:val="es-ES_tradnl"/>
              </w:rPr>
            </w:pPr>
            <w:r w:rsidRPr="00805848">
              <w:rPr>
                <w:rFonts w:ascii="Arial" w:hAnsi="Arial" w:cs="Arial"/>
                <w:b/>
                <w:bCs/>
                <w:sz w:val="24"/>
                <w:lang w:val="es-ES_tradnl"/>
              </w:rPr>
              <w:t>Tribunal</w:t>
            </w:r>
          </w:p>
        </w:tc>
        <w:tc>
          <w:tcPr>
            <w:tcW w:w="4414" w:type="dxa"/>
          </w:tcPr>
          <w:p w14:paraId="1E3A6590" w14:textId="38C2000E" w:rsidR="00950D42" w:rsidRPr="00805848" w:rsidRDefault="00DF1D34" w:rsidP="007D1C3C">
            <w:pPr>
              <w:spacing w:line="360" w:lineRule="auto"/>
              <w:jc w:val="both"/>
              <w:rPr>
                <w:rFonts w:ascii="Arial" w:hAnsi="Arial" w:cs="Arial"/>
                <w:sz w:val="24"/>
                <w:lang w:val="es-ES_tradnl"/>
              </w:rPr>
            </w:pPr>
            <w:r w:rsidRPr="00DF1D34">
              <w:rPr>
                <w:rFonts w:ascii="Arial" w:hAnsi="Arial" w:cs="Arial"/>
                <w:sz w:val="24"/>
                <w:lang w:val="es-ES"/>
              </w:rPr>
              <w:t>Segundo Tribunal Electoral</w:t>
            </w:r>
          </w:p>
        </w:tc>
      </w:tr>
      <w:tr w:rsidR="00950D42" w:rsidRPr="00805848" w14:paraId="1E55DBD8" w14:textId="77777777" w:rsidTr="00950D42">
        <w:tc>
          <w:tcPr>
            <w:tcW w:w="4414" w:type="dxa"/>
          </w:tcPr>
          <w:p w14:paraId="790D8959" w14:textId="4BA435A5" w:rsidR="00950D42" w:rsidRPr="00805848" w:rsidRDefault="00950D42" w:rsidP="007D1C3C">
            <w:pPr>
              <w:spacing w:line="360" w:lineRule="auto"/>
              <w:jc w:val="both"/>
              <w:rPr>
                <w:rFonts w:ascii="Arial" w:hAnsi="Arial" w:cs="Arial"/>
                <w:b/>
                <w:bCs/>
                <w:sz w:val="24"/>
                <w:lang w:val="es-ES_tradnl"/>
              </w:rPr>
            </w:pPr>
            <w:r w:rsidRPr="00805848">
              <w:rPr>
                <w:rFonts w:ascii="Arial" w:hAnsi="Arial" w:cs="Arial"/>
                <w:b/>
                <w:bCs/>
                <w:sz w:val="24"/>
                <w:lang w:val="es-ES_tradnl"/>
              </w:rPr>
              <w:t>R</w:t>
            </w:r>
            <w:r w:rsidR="00E77832" w:rsidRPr="00805848">
              <w:rPr>
                <w:rFonts w:ascii="Arial" w:hAnsi="Arial" w:cs="Arial"/>
                <w:b/>
                <w:bCs/>
                <w:sz w:val="24"/>
                <w:lang w:val="es-ES_tradnl"/>
              </w:rPr>
              <w:t>OL</w:t>
            </w:r>
            <w:r w:rsidRPr="00805848">
              <w:rPr>
                <w:rFonts w:ascii="Arial" w:hAnsi="Arial" w:cs="Arial"/>
                <w:b/>
                <w:bCs/>
                <w:sz w:val="24"/>
                <w:lang w:val="es-ES_tradnl"/>
              </w:rPr>
              <w:t>/RIT</w:t>
            </w:r>
          </w:p>
        </w:tc>
        <w:tc>
          <w:tcPr>
            <w:tcW w:w="4414" w:type="dxa"/>
          </w:tcPr>
          <w:p w14:paraId="405C9183" w14:textId="6777D316" w:rsidR="00950D42" w:rsidRPr="00805848" w:rsidRDefault="00DF1D34" w:rsidP="007D1C3C">
            <w:pPr>
              <w:spacing w:line="360" w:lineRule="auto"/>
              <w:jc w:val="both"/>
              <w:rPr>
                <w:rFonts w:ascii="Arial" w:hAnsi="Arial" w:cs="Arial"/>
                <w:sz w:val="24"/>
                <w:lang w:val="es-MX"/>
              </w:rPr>
            </w:pPr>
            <w:r w:rsidRPr="00DF1D34">
              <w:rPr>
                <w:rFonts w:ascii="Arial" w:hAnsi="Arial" w:cs="Arial"/>
                <w:sz w:val="24"/>
                <w:lang w:val="es-ES"/>
              </w:rPr>
              <w:t>83-2025</w:t>
            </w:r>
          </w:p>
        </w:tc>
      </w:tr>
      <w:tr w:rsidR="00950D42" w:rsidRPr="00805848" w14:paraId="7448AAE8" w14:textId="77777777" w:rsidTr="00950D42">
        <w:tc>
          <w:tcPr>
            <w:tcW w:w="4414" w:type="dxa"/>
          </w:tcPr>
          <w:p w14:paraId="5EDFB998" w14:textId="4DC88F7C" w:rsidR="00950D42" w:rsidRPr="00805848" w:rsidRDefault="00950D42" w:rsidP="007D1C3C">
            <w:pPr>
              <w:spacing w:line="360" w:lineRule="auto"/>
              <w:jc w:val="both"/>
              <w:rPr>
                <w:rFonts w:ascii="Arial" w:hAnsi="Arial" w:cs="Arial"/>
                <w:b/>
                <w:bCs/>
                <w:sz w:val="24"/>
                <w:lang w:val="es-ES_tradnl"/>
              </w:rPr>
            </w:pPr>
            <w:r w:rsidRPr="00805848">
              <w:rPr>
                <w:rFonts w:ascii="Arial" w:hAnsi="Arial" w:cs="Arial"/>
                <w:b/>
                <w:bCs/>
                <w:sz w:val="24"/>
                <w:lang w:val="es-ES_tradnl"/>
              </w:rPr>
              <w:t xml:space="preserve">Fecha de </w:t>
            </w:r>
            <w:r w:rsidR="00E77832" w:rsidRPr="00805848">
              <w:rPr>
                <w:rFonts w:ascii="Arial" w:hAnsi="Arial" w:cs="Arial"/>
                <w:b/>
                <w:bCs/>
                <w:sz w:val="24"/>
                <w:lang w:val="es-ES_tradnl"/>
              </w:rPr>
              <w:t>la sentencia</w:t>
            </w:r>
          </w:p>
        </w:tc>
        <w:tc>
          <w:tcPr>
            <w:tcW w:w="4414" w:type="dxa"/>
          </w:tcPr>
          <w:p w14:paraId="5711F3B1" w14:textId="7E6DCC87" w:rsidR="00950D42" w:rsidRPr="00805848" w:rsidRDefault="00DF1D34" w:rsidP="007D1C3C">
            <w:pPr>
              <w:spacing w:line="360" w:lineRule="auto"/>
              <w:jc w:val="both"/>
              <w:rPr>
                <w:rFonts w:ascii="Arial" w:hAnsi="Arial" w:cs="Arial"/>
                <w:sz w:val="24"/>
                <w:lang w:val="es-ES_tradnl"/>
              </w:rPr>
            </w:pPr>
            <w:r w:rsidRPr="00DF1D34">
              <w:rPr>
                <w:rFonts w:ascii="Arial" w:hAnsi="Arial" w:cs="Arial"/>
                <w:sz w:val="24"/>
                <w:lang w:val="es-ES"/>
              </w:rPr>
              <w:t>3 de septiembre de 2025</w:t>
            </w:r>
          </w:p>
        </w:tc>
      </w:tr>
      <w:tr w:rsidR="00950D42" w:rsidRPr="00805848" w14:paraId="4E808922" w14:textId="77777777" w:rsidTr="00950D42">
        <w:tc>
          <w:tcPr>
            <w:tcW w:w="4414" w:type="dxa"/>
          </w:tcPr>
          <w:p w14:paraId="22D1830A" w14:textId="02921179" w:rsidR="00950D42" w:rsidRPr="00805848" w:rsidRDefault="00950D42" w:rsidP="007D1C3C">
            <w:pPr>
              <w:tabs>
                <w:tab w:val="center" w:pos="2099"/>
              </w:tabs>
              <w:spacing w:line="360" w:lineRule="auto"/>
              <w:jc w:val="both"/>
              <w:rPr>
                <w:rFonts w:ascii="Arial" w:hAnsi="Arial" w:cs="Arial"/>
                <w:b/>
                <w:bCs/>
                <w:sz w:val="24"/>
                <w:lang w:val="es-ES_tradnl"/>
              </w:rPr>
            </w:pPr>
            <w:r w:rsidRPr="00805848">
              <w:rPr>
                <w:rFonts w:ascii="Arial" w:hAnsi="Arial" w:cs="Arial"/>
                <w:b/>
                <w:bCs/>
                <w:sz w:val="24"/>
                <w:lang w:val="es-ES_tradnl"/>
              </w:rPr>
              <w:t>Recurso/Materia</w:t>
            </w:r>
            <w:r w:rsidRPr="00805848">
              <w:rPr>
                <w:rFonts w:ascii="Arial" w:hAnsi="Arial" w:cs="Arial"/>
                <w:b/>
                <w:bCs/>
                <w:sz w:val="24"/>
                <w:lang w:val="es-ES_tradnl"/>
              </w:rPr>
              <w:tab/>
            </w:r>
          </w:p>
        </w:tc>
        <w:tc>
          <w:tcPr>
            <w:tcW w:w="4414" w:type="dxa"/>
          </w:tcPr>
          <w:p w14:paraId="3D49A8CA" w14:textId="2794F6D0" w:rsidR="00E77832" w:rsidRPr="00805848" w:rsidRDefault="00DF1D34" w:rsidP="007D1C3C">
            <w:pPr>
              <w:spacing w:line="360" w:lineRule="auto"/>
              <w:jc w:val="both"/>
              <w:rPr>
                <w:rFonts w:ascii="Arial" w:eastAsia="Times New Roman" w:hAnsi="Arial" w:cs="Arial"/>
                <w:sz w:val="24"/>
              </w:rPr>
            </w:pPr>
            <w:r w:rsidRPr="00DF1D34">
              <w:rPr>
                <w:rFonts w:ascii="Arial" w:eastAsia="Times New Roman" w:hAnsi="Arial" w:cs="Arial"/>
                <w:sz w:val="24"/>
                <w:lang w:val="es-ES"/>
              </w:rPr>
              <w:t>Recurso de reclamación</w:t>
            </w:r>
          </w:p>
        </w:tc>
      </w:tr>
      <w:tr w:rsidR="00950D42" w:rsidRPr="00805848" w14:paraId="60A15779" w14:textId="77777777" w:rsidTr="00950D42">
        <w:tc>
          <w:tcPr>
            <w:tcW w:w="4414" w:type="dxa"/>
          </w:tcPr>
          <w:p w14:paraId="3419BC96" w14:textId="77777777" w:rsidR="00950D42" w:rsidRPr="00805848" w:rsidRDefault="00950D42" w:rsidP="007D1C3C">
            <w:pPr>
              <w:spacing w:line="360" w:lineRule="auto"/>
              <w:jc w:val="both"/>
              <w:rPr>
                <w:rFonts w:ascii="Arial" w:hAnsi="Arial" w:cs="Arial"/>
                <w:b/>
                <w:bCs/>
                <w:sz w:val="24"/>
                <w:lang w:val="es-ES_tradnl"/>
              </w:rPr>
            </w:pPr>
            <w:r w:rsidRPr="00805848">
              <w:rPr>
                <w:rFonts w:ascii="Arial" w:hAnsi="Arial" w:cs="Arial"/>
                <w:b/>
                <w:bCs/>
                <w:sz w:val="24"/>
                <w:lang w:val="es-ES_tradnl"/>
              </w:rPr>
              <w:t>Resultado</w:t>
            </w:r>
          </w:p>
        </w:tc>
        <w:tc>
          <w:tcPr>
            <w:tcW w:w="4414" w:type="dxa"/>
          </w:tcPr>
          <w:p w14:paraId="39AF1670" w14:textId="026F8580" w:rsidR="00950D42" w:rsidRPr="00805848" w:rsidRDefault="00DF1D34" w:rsidP="007D1C3C">
            <w:pPr>
              <w:spacing w:line="360" w:lineRule="auto"/>
              <w:jc w:val="both"/>
              <w:rPr>
                <w:rFonts w:ascii="Arial" w:hAnsi="Arial" w:cs="Arial"/>
                <w:sz w:val="24"/>
                <w:lang w:val="es-ES_tradnl"/>
              </w:rPr>
            </w:pPr>
            <w:r>
              <w:rPr>
                <w:rFonts w:ascii="Arial" w:hAnsi="Arial" w:cs="Arial"/>
                <w:sz w:val="24"/>
                <w:lang w:val="es-ES_tradnl"/>
              </w:rPr>
              <w:t>Acogido</w:t>
            </w:r>
          </w:p>
        </w:tc>
      </w:tr>
      <w:tr w:rsidR="00950D42" w:rsidRPr="00805848" w14:paraId="4CC35AA2" w14:textId="77777777" w:rsidTr="00950D42">
        <w:tc>
          <w:tcPr>
            <w:tcW w:w="4414" w:type="dxa"/>
          </w:tcPr>
          <w:p w14:paraId="28A5A628" w14:textId="77777777" w:rsidR="00950D42" w:rsidRPr="00805848" w:rsidRDefault="00950D42" w:rsidP="007D1C3C">
            <w:pPr>
              <w:spacing w:line="360" w:lineRule="auto"/>
              <w:jc w:val="both"/>
              <w:rPr>
                <w:rFonts w:ascii="Arial" w:hAnsi="Arial" w:cs="Arial"/>
                <w:b/>
                <w:bCs/>
                <w:sz w:val="24"/>
                <w:lang w:val="es-ES_tradnl"/>
              </w:rPr>
            </w:pPr>
            <w:r w:rsidRPr="00805848">
              <w:rPr>
                <w:rFonts w:ascii="Arial" w:hAnsi="Arial" w:cs="Arial"/>
                <w:b/>
                <w:bCs/>
                <w:sz w:val="24"/>
                <w:lang w:val="es-ES_tradnl"/>
              </w:rPr>
              <w:t>Caratulado</w:t>
            </w:r>
          </w:p>
        </w:tc>
        <w:tc>
          <w:tcPr>
            <w:tcW w:w="4414" w:type="dxa"/>
          </w:tcPr>
          <w:p w14:paraId="522B9246" w14:textId="4C9C113F" w:rsidR="00950D42" w:rsidRPr="00805848" w:rsidRDefault="00DF1D34" w:rsidP="008F73B6">
            <w:pPr>
              <w:spacing w:line="360" w:lineRule="auto"/>
              <w:jc w:val="both"/>
              <w:rPr>
                <w:rFonts w:ascii="Arial" w:hAnsi="Arial" w:cs="Arial"/>
                <w:sz w:val="24"/>
                <w:lang w:val="es-ES_tradnl"/>
              </w:rPr>
            </w:pPr>
            <w:r>
              <w:rPr>
                <w:rFonts w:ascii="Arial" w:hAnsi="Arial" w:cs="Arial"/>
                <w:sz w:val="24"/>
                <w:lang w:val="es-ES_tradnl"/>
              </w:rPr>
              <w:t>ANONIMIZADO</w:t>
            </w:r>
          </w:p>
        </w:tc>
      </w:tr>
    </w:tbl>
    <w:p w14:paraId="5869EE8F" w14:textId="198FA07E" w:rsidR="002B0BCD" w:rsidRPr="00805848" w:rsidRDefault="002B0BCD" w:rsidP="007D1C3C">
      <w:pPr>
        <w:pStyle w:val="Prrafodelista"/>
        <w:pBdr>
          <w:top w:val="nil"/>
          <w:left w:val="nil"/>
          <w:bottom w:val="nil"/>
          <w:right w:val="nil"/>
          <w:between w:val="nil"/>
        </w:pBdr>
        <w:spacing w:line="360" w:lineRule="auto"/>
        <w:ind w:left="1080"/>
        <w:jc w:val="center"/>
        <w:rPr>
          <w:rFonts w:ascii="Arial" w:eastAsia="Times New Roman" w:hAnsi="Arial" w:cs="Arial"/>
          <w:b/>
          <w:color w:val="000000"/>
          <w:sz w:val="24"/>
          <w:szCs w:val="24"/>
          <w:lang w:val="es-ES_tradnl"/>
        </w:rPr>
      </w:pPr>
    </w:p>
    <w:p w14:paraId="360CAEE2" w14:textId="6EC5C889" w:rsidR="002B0BCD" w:rsidRPr="00805848" w:rsidRDefault="002B0BCD" w:rsidP="007D1C3C">
      <w:pPr>
        <w:pStyle w:val="Prrafodelista"/>
        <w:pBdr>
          <w:top w:val="nil"/>
          <w:left w:val="nil"/>
          <w:bottom w:val="nil"/>
          <w:right w:val="nil"/>
          <w:between w:val="nil"/>
        </w:pBdr>
        <w:spacing w:line="360" w:lineRule="auto"/>
        <w:ind w:left="1080"/>
        <w:jc w:val="center"/>
        <w:rPr>
          <w:rFonts w:ascii="Arial" w:eastAsia="Times New Roman" w:hAnsi="Arial" w:cs="Arial"/>
          <w:b/>
          <w:color w:val="000000"/>
          <w:sz w:val="24"/>
          <w:szCs w:val="24"/>
          <w:lang w:val="es-ES_tradnl"/>
        </w:rPr>
      </w:pPr>
    </w:p>
    <w:p w14:paraId="34AB325F" w14:textId="79F909CE" w:rsidR="002B0BCD" w:rsidRPr="00805848" w:rsidRDefault="002B0BCD" w:rsidP="007D1C3C">
      <w:pPr>
        <w:pStyle w:val="Prrafodelista"/>
        <w:pBdr>
          <w:top w:val="nil"/>
          <w:left w:val="nil"/>
          <w:bottom w:val="nil"/>
          <w:right w:val="nil"/>
          <w:between w:val="nil"/>
        </w:pBdr>
        <w:spacing w:line="360" w:lineRule="auto"/>
        <w:ind w:left="1080"/>
        <w:jc w:val="center"/>
        <w:rPr>
          <w:rFonts w:ascii="Arial" w:eastAsia="Times New Roman" w:hAnsi="Arial" w:cs="Arial"/>
          <w:b/>
          <w:color w:val="000000"/>
          <w:sz w:val="24"/>
          <w:szCs w:val="24"/>
          <w:lang w:val="es-ES_tradnl"/>
        </w:rPr>
      </w:pPr>
    </w:p>
    <w:p w14:paraId="61FA113B" w14:textId="77777777" w:rsidR="002B0BCD" w:rsidRPr="00805848" w:rsidRDefault="002B0BCD" w:rsidP="007D1C3C">
      <w:pPr>
        <w:pStyle w:val="Prrafodelista"/>
        <w:pBdr>
          <w:top w:val="nil"/>
          <w:left w:val="nil"/>
          <w:bottom w:val="nil"/>
          <w:right w:val="nil"/>
          <w:between w:val="nil"/>
        </w:pBdr>
        <w:spacing w:line="360" w:lineRule="auto"/>
        <w:ind w:left="1080"/>
        <w:jc w:val="center"/>
        <w:rPr>
          <w:rFonts w:ascii="Arial" w:eastAsia="Times New Roman" w:hAnsi="Arial" w:cs="Arial"/>
          <w:b/>
          <w:color w:val="000000"/>
          <w:sz w:val="24"/>
          <w:szCs w:val="24"/>
          <w:lang w:val="es-ES_tradnl"/>
        </w:rPr>
      </w:pPr>
    </w:p>
    <w:p w14:paraId="3DA24CFA" w14:textId="60020B78" w:rsidR="00DF28B0" w:rsidRPr="00805848" w:rsidRDefault="00DF28B0" w:rsidP="007D1C3C">
      <w:pPr>
        <w:spacing w:line="360" w:lineRule="auto"/>
        <w:rPr>
          <w:rFonts w:ascii="Arial" w:eastAsia="Times New Roman" w:hAnsi="Arial" w:cs="Arial"/>
          <w:b/>
          <w:sz w:val="24"/>
          <w:szCs w:val="24"/>
        </w:rPr>
      </w:pPr>
    </w:p>
    <w:p w14:paraId="13815B19" w14:textId="77777777" w:rsidR="00BC0CE9" w:rsidRDefault="00BC0CE9" w:rsidP="002F5181">
      <w:pPr>
        <w:spacing w:line="276" w:lineRule="auto"/>
        <w:jc w:val="both"/>
        <w:rPr>
          <w:rFonts w:ascii="Arial" w:eastAsia="Times New Roman" w:hAnsi="Arial" w:cs="Arial"/>
          <w:b/>
          <w:sz w:val="24"/>
          <w:szCs w:val="24"/>
        </w:rPr>
      </w:pPr>
    </w:p>
    <w:p w14:paraId="1D5BD3CB" w14:textId="77777777" w:rsidR="0062044B" w:rsidRPr="00805848" w:rsidRDefault="0062044B" w:rsidP="002F5181">
      <w:pPr>
        <w:spacing w:line="276" w:lineRule="auto"/>
        <w:jc w:val="both"/>
        <w:rPr>
          <w:rFonts w:ascii="Arial" w:eastAsia="Times New Roman" w:hAnsi="Arial" w:cs="Arial"/>
          <w:b/>
          <w:sz w:val="24"/>
          <w:szCs w:val="24"/>
        </w:rPr>
      </w:pPr>
    </w:p>
    <w:p w14:paraId="157456B2" w14:textId="77777777" w:rsidR="00DF28B0" w:rsidRPr="00805848" w:rsidRDefault="00521D3C" w:rsidP="002F5181">
      <w:pPr>
        <w:numPr>
          <w:ilvl w:val="0"/>
          <w:numId w:val="2"/>
        </w:numPr>
        <w:pBdr>
          <w:top w:val="nil"/>
          <w:left w:val="nil"/>
          <w:bottom w:val="nil"/>
          <w:right w:val="nil"/>
          <w:between w:val="nil"/>
        </w:pBdr>
        <w:spacing w:line="276" w:lineRule="auto"/>
        <w:jc w:val="both"/>
        <w:rPr>
          <w:rFonts w:ascii="Arial" w:eastAsia="Times New Roman" w:hAnsi="Arial" w:cs="Arial"/>
          <w:b/>
          <w:color w:val="000000"/>
          <w:sz w:val="24"/>
          <w:szCs w:val="24"/>
        </w:rPr>
      </w:pPr>
      <w:r w:rsidRPr="00805848">
        <w:rPr>
          <w:rFonts w:ascii="Arial" w:eastAsia="Times New Roman" w:hAnsi="Arial" w:cs="Arial"/>
          <w:b/>
          <w:color w:val="000000"/>
          <w:sz w:val="24"/>
          <w:szCs w:val="24"/>
        </w:rPr>
        <w:t>RESUMEN</w:t>
      </w:r>
    </w:p>
    <w:p w14:paraId="3DC1E2FF" w14:textId="01E7EFD7" w:rsidR="002E146A" w:rsidRDefault="002E146A" w:rsidP="002F5181">
      <w:pPr>
        <w:pBdr>
          <w:top w:val="nil"/>
          <w:left w:val="nil"/>
          <w:bottom w:val="nil"/>
          <w:right w:val="nil"/>
          <w:between w:val="nil"/>
        </w:pBdr>
        <w:spacing w:line="276" w:lineRule="auto"/>
        <w:jc w:val="both"/>
        <w:rPr>
          <w:rFonts w:ascii="Arial" w:eastAsia="Times New Roman" w:hAnsi="Arial" w:cs="Arial"/>
          <w:bCs/>
          <w:color w:val="000000"/>
          <w:sz w:val="24"/>
          <w:szCs w:val="24"/>
        </w:rPr>
      </w:pPr>
      <w:r w:rsidRPr="00CE3727">
        <w:rPr>
          <w:rFonts w:ascii="Arial" w:eastAsia="Times New Roman" w:hAnsi="Arial" w:cs="Arial"/>
          <w:b/>
          <w:color w:val="000000"/>
          <w:sz w:val="24"/>
          <w:szCs w:val="24"/>
        </w:rPr>
        <w:t>Derechos vulnerados:</w:t>
      </w:r>
      <w:r w:rsidRPr="00805848">
        <w:rPr>
          <w:rFonts w:ascii="Arial" w:eastAsia="Times New Roman" w:hAnsi="Arial" w:cs="Arial"/>
          <w:bCs/>
          <w:color w:val="000000"/>
          <w:sz w:val="24"/>
          <w:szCs w:val="24"/>
        </w:rPr>
        <w:t xml:space="preserve"> </w:t>
      </w:r>
      <w:r w:rsidR="00055B34" w:rsidRPr="00805848">
        <w:rPr>
          <w:rFonts w:ascii="Arial" w:eastAsia="Times New Roman" w:hAnsi="Arial" w:cs="Arial"/>
          <w:bCs/>
          <w:color w:val="000000"/>
          <w:sz w:val="24"/>
          <w:szCs w:val="24"/>
        </w:rPr>
        <w:t xml:space="preserve">Derecho </w:t>
      </w:r>
      <w:r w:rsidR="008F73B6">
        <w:rPr>
          <w:rFonts w:ascii="Arial" w:eastAsia="Times New Roman" w:hAnsi="Arial" w:cs="Arial"/>
          <w:bCs/>
          <w:color w:val="000000"/>
          <w:sz w:val="24"/>
          <w:szCs w:val="24"/>
        </w:rPr>
        <w:t xml:space="preserve">al </w:t>
      </w:r>
      <w:r w:rsidR="00F01AEC">
        <w:rPr>
          <w:rFonts w:ascii="Arial" w:eastAsia="Times New Roman" w:hAnsi="Arial" w:cs="Arial"/>
          <w:bCs/>
          <w:color w:val="000000"/>
          <w:sz w:val="24"/>
          <w:szCs w:val="24"/>
        </w:rPr>
        <w:t>sufragio.</w:t>
      </w:r>
    </w:p>
    <w:p w14:paraId="31C461B8" w14:textId="0FD3955D" w:rsidR="00F01AEC" w:rsidRPr="00805848" w:rsidRDefault="00F01AEC" w:rsidP="002F5181">
      <w:pPr>
        <w:pBdr>
          <w:top w:val="nil"/>
          <w:left w:val="nil"/>
          <w:bottom w:val="nil"/>
          <w:right w:val="nil"/>
          <w:between w:val="nil"/>
        </w:pBdr>
        <w:spacing w:line="276" w:lineRule="auto"/>
        <w:jc w:val="both"/>
        <w:rPr>
          <w:rFonts w:ascii="Arial" w:eastAsia="Times New Roman" w:hAnsi="Arial" w:cs="Arial"/>
          <w:bCs/>
          <w:color w:val="000000"/>
          <w:sz w:val="24"/>
          <w:szCs w:val="24"/>
        </w:rPr>
      </w:pPr>
      <w:r w:rsidRPr="00F01AEC">
        <w:rPr>
          <w:rFonts w:ascii="Arial" w:eastAsia="Times New Roman" w:hAnsi="Arial" w:cs="Arial"/>
          <w:bCs/>
          <w:color w:val="000000"/>
          <w:sz w:val="24"/>
          <w:szCs w:val="24"/>
        </w:rPr>
        <w:t>La sentencia acoge la reclamación presentada contra el Servicio Electoral de Elecciones (en adelante “el SERVEL”) y ordena reincorporar al padrón electoral a una mujer con síndrome de Down, al determinar que la interdicción decretada en 2023 tiene efectos exclusivamente patrimoniales, los que no implican la pérdida del derecho al sufragio.</w:t>
      </w:r>
    </w:p>
    <w:p w14:paraId="358B1C96" w14:textId="75BF7140" w:rsidR="00CD4139" w:rsidRPr="00CD4139" w:rsidRDefault="00CD4139" w:rsidP="002F5181">
      <w:pPr>
        <w:spacing w:line="276" w:lineRule="auto"/>
        <w:jc w:val="both"/>
        <w:rPr>
          <w:rFonts w:ascii="Arial" w:eastAsia="Times New Roman" w:hAnsi="Arial" w:cs="Arial"/>
          <w:bCs/>
          <w:color w:val="000000"/>
          <w:sz w:val="24"/>
          <w:szCs w:val="24"/>
          <w:lang w:val="es-CL"/>
        </w:rPr>
      </w:pPr>
    </w:p>
    <w:p w14:paraId="1741D831" w14:textId="1F1F2139" w:rsidR="00A40C1B" w:rsidRPr="00A0300F" w:rsidRDefault="00521D3C" w:rsidP="00A40C1B">
      <w:pPr>
        <w:numPr>
          <w:ilvl w:val="0"/>
          <w:numId w:val="2"/>
        </w:numPr>
        <w:pBdr>
          <w:top w:val="nil"/>
          <w:left w:val="nil"/>
          <w:bottom w:val="nil"/>
          <w:right w:val="nil"/>
          <w:between w:val="nil"/>
        </w:pBdr>
        <w:spacing w:line="276" w:lineRule="auto"/>
        <w:jc w:val="both"/>
        <w:rPr>
          <w:rFonts w:ascii="Arial" w:eastAsia="Times New Roman" w:hAnsi="Arial" w:cs="Arial"/>
          <w:b/>
          <w:color w:val="000000"/>
          <w:sz w:val="24"/>
          <w:szCs w:val="24"/>
        </w:rPr>
      </w:pPr>
      <w:r w:rsidRPr="00805848">
        <w:rPr>
          <w:rFonts w:ascii="Arial" w:eastAsia="Times New Roman" w:hAnsi="Arial" w:cs="Arial"/>
          <w:b/>
          <w:color w:val="000000"/>
          <w:sz w:val="24"/>
          <w:szCs w:val="24"/>
        </w:rPr>
        <w:t>HECHOS</w:t>
      </w:r>
    </w:p>
    <w:p w14:paraId="19004304" w14:textId="7E1ADB05" w:rsidR="00BC0CE9" w:rsidRDefault="00651847" w:rsidP="007E7F6F">
      <w:pPr>
        <w:spacing w:line="276" w:lineRule="auto"/>
        <w:jc w:val="both"/>
        <w:rPr>
          <w:rFonts w:ascii="Arial" w:eastAsia="Times New Roman" w:hAnsi="Arial" w:cs="Arial"/>
          <w:bCs/>
          <w:color w:val="000000"/>
          <w:sz w:val="24"/>
          <w:szCs w:val="24"/>
        </w:rPr>
      </w:pPr>
      <w:r w:rsidRPr="00651847">
        <w:rPr>
          <w:rFonts w:ascii="Arial" w:eastAsia="Times New Roman" w:hAnsi="Arial" w:cs="Arial"/>
          <w:bCs/>
          <w:color w:val="000000"/>
          <w:sz w:val="24"/>
          <w:szCs w:val="24"/>
        </w:rPr>
        <w:t>El Segundo Tribunal Electoral de la Región Metropolitana acoge la reclamación interpuesta por los abogados representantes de una mujer con síndrome de Down, ordenando su reincorporación al padrón electoral</w:t>
      </w:r>
      <w:r>
        <w:rPr>
          <w:rFonts w:ascii="Arial" w:eastAsia="Times New Roman" w:hAnsi="Arial" w:cs="Arial"/>
          <w:bCs/>
          <w:color w:val="000000"/>
          <w:sz w:val="24"/>
          <w:szCs w:val="24"/>
        </w:rPr>
        <w:t>.</w:t>
      </w:r>
    </w:p>
    <w:p w14:paraId="36EC5225" w14:textId="4EC45107" w:rsidR="00651847" w:rsidRDefault="00651847" w:rsidP="007E7F6F">
      <w:pPr>
        <w:spacing w:line="276" w:lineRule="auto"/>
        <w:jc w:val="both"/>
        <w:rPr>
          <w:rFonts w:ascii="Arial" w:eastAsia="Times New Roman" w:hAnsi="Arial" w:cs="Arial"/>
          <w:bCs/>
          <w:color w:val="000000"/>
          <w:sz w:val="24"/>
          <w:szCs w:val="24"/>
        </w:rPr>
      </w:pPr>
      <w:r w:rsidRPr="00651847">
        <w:rPr>
          <w:rFonts w:ascii="Arial" w:eastAsia="Times New Roman" w:hAnsi="Arial" w:cs="Arial"/>
          <w:bCs/>
          <w:color w:val="000000"/>
          <w:sz w:val="24"/>
          <w:szCs w:val="24"/>
        </w:rPr>
        <w:t>De los antecedentes consta que en 2023 sus progenitores iniciaron un procedimiento voluntario de interdicción por causa de demencia ante el 24°Juzgado Civil de Santiago, con el único propósito de regularizar la administración de sus bienes y recursos económicos de su hija. La sentencia civil dictada el 6 de noviembre del año 2023 la</w:t>
      </w:r>
      <w:r>
        <w:rPr>
          <w:rFonts w:ascii="Arial" w:eastAsia="Times New Roman" w:hAnsi="Arial" w:cs="Arial"/>
          <w:bCs/>
          <w:color w:val="000000"/>
          <w:sz w:val="24"/>
          <w:szCs w:val="24"/>
        </w:rPr>
        <w:t xml:space="preserve"> </w:t>
      </w:r>
      <w:r w:rsidRPr="00651847">
        <w:rPr>
          <w:rFonts w:ascii="Arial" w:eastAsia="Times New Roman" w:hAnsi="Arial" w:cs="Arial"/>
          <w:bCs/>
          <w:color w:val="000000"/>
          <w:sz w:val="24"/>
          <w:szCs w:val="24"/>
        </w:rPr>
        <w:t>declaró interdicta por causa de demencia, privándola de la libre administración de sus bienes y nombrando como curadores definitivos conjuntos a sus hermanos</w:t>
      </w:r>
      <w:r>
        <w:rPr>
          <w:rFonts w:ascii="Arial" w:eastAsia="Times New Roman" w:hAnsi="Arial" w:cs="Arial"/>
          <w:bCs/>
          <w:color w:val="000000"/>
          <w:sz w:val="24"/>
          <w:szCs w:val="24"/>
        </w:rPr>
        <w:t>.</w:t>
      </w:r>
    </w:p>
    <w:p w14:paraId="390E27D0" w14:textId="462C92F9" w:rsidR="00651847" w:rsidRDefault="00651847" w:rsidP="007E7F6F">
      <w:pPr>
        <w:spacing w:line="276" w:lineRule="auto"/>
        <w:jc w:val="both"/>
        <w:rPr>
          <w:rFonts w:ascii="Arial" w:eastAsia="Times New Roman" w:hAnsi="Arial" w:cs="Arial"/>
          <w:bCs/>
          <w:color w:val="000000"/>
          <w:sz w:val="24"/>
          <w:szCs w:val="24"/>
        </w:rPr>
      </w:pPr>
      <w:r w:rsidRPr="00651847">
        <w:rPr>
          <w:rFonts w:ascii="Arial" w:eastAsia="Times New Roman" w:hAnsi="Arial" w:cs="Arial"/>
          <w:bCs/>
          <w:color w:val="000000"/>
          <w:sz w:val="24"/>
          <w:szCs w:val="24"/>
        </w:rPr>
        <w:lastRenderedPageBreak/>
        <w:t>Posteriormente, en agosto de 2025, el SERVEL la notificó de su exclusión automática del padrón electoral, inhabilitándola para sufragar en las próximas elecciones de presidente de la República y parlamentarios del año 2025.</w:t>
      </w:r>
    </w:p>
    <w:p w14:paraId="209F15AE" w14:textId="2F20E3CF" w:rsidR="00651847" w:rsidRDefault="00651847" w:rsidP="00651847">
      <w:pPr>
        <w:spacing w:line="276" w:lineRule="auto"/>
        <w:jc w:val="both"/>
        <w:rPr>
          <w:rFonts w:ascii="Arial" w:eastAsia="Times New Roman" w:hAnsi="Arial" w:cs="Arial"/>
          <w:bCs/>
          <w:color w:val="000000"/>
          <w:sz w:val="24"/>
          <w:szCs w:val="24"/>
        </w:rPr>
      </w:pPr>
      <w:r w:rsidRPr="00651847">
        <w:rPr>
          <w:rFonts w:ascii="Arial" w:eastAsia="Times New Roman" w:hAnsi="Arial" w:cs="Arial"/>
          <w:bCs/>
          <w:color w:val="000000"/>
          <w:sz w:val="24"/>
          <w:szCs w:val="24"/>
        </w:rPr>
        <w:t>Ante la exclusión del padrón electoral, la parte afectada interpone recurso de reclamación</w:t>
      </w:r>
      <w:r>
        <w:rPr>
          <w:rFonts w:ascii="Arial" w:eastAsia="Times New Roman" w:hAnsi="Arial" w:cs="Arial"/>
          <w:bCs/>
          <w:color w:val="000000"/>
          <w:sz w:val="24"/>
          <w:szCs w:val="24"/>
        </w:rPr>
        <w:t xml:space="preserve"> </w:t>
      </w:r>
      <w:r w:rsidRPr="00651847">
        <w:rPr>
          <w:rFonts w:ascii="Arial" w:eastAsia="Times New Roman" w:hAnsi="Arial" w:cs="Arial"/>
          <w:bCs/>
          <w:color w:val="000000"/>
          <w:sz w:val="24"/>
          <w:szCs w:val="24"/>
        </w:rPr>
        <w:t>argumentando que la interdicción constituye una medida de protección y no una sanción,</w:t>
      </w:r>
      <w:r>
        <w:rPr>
          <w:rFonts w:ascii="Arial" w:eastAsia="Times New Roman" w:hAnsi="Arial" w:cs="Arial"/>
          <w:bCs/>
          <w:color w:val="000000"/>
          <w:sz w:val="24"/>
          <w:szCs w:val="24"/>
        </w:rPr>
        <w:t xml:space="preserve"> </w:t>
      </w:r>
      <w:r w:rsidRPr="00651847">
        <w:rPr>
          <w:rFonts w:ascii="Arial" w:eastAsia="Times New Roman" w:hAnsi="Arial" w:cs="Arial"/>
          <w:bCs/>
          <w:color w:val="000000"/>
          <w:sz w:val="24"/>
          <w:szCs w:val="24"/>
        </w:rPr>
        <w:t>citando al efecto disposiciones del Código Civil, así como pronunciamientos del Tribunal</w:t>
      </w:r>
      <w:r>
        <w:rPr>
          <w:rFonts w:ascii="Arial" w:eastAsia="Times New Roman" w:hAnsi="Arial" w:cs="Arial"/>
          <w:bCs/>
          <w:color w:val="000000"/>
          <w:sz w:val="24"/>
          <w:szCs w:val="24"/>
        </w:rPr>
        <w:t xml:space="preserve"> </w:t>
      </w:r>
      <w:r w:rsidRPr="00651847">
        <w:rPr>
          <w:rFonts w:ascii="Arial" w:eastAsia="Times New Roman" w:hAnsi="Arial" w:cs="Arial"/>
          <w:bCs/>
          <w:color w:val="000000"/>
          <w:sz w:val="24"/>
          <w:szCs w:val="24"/>
        </w:rPr>
        <w:t>Constitucional y de la Corte de Apelaciones de San Miguel.</w:t>
      </w:r>
    </w:p>
    <w:p w14:paraId="210BE01F" w14:textId="1FE72E02" w:rsidR="00651847" w:rsidRDefault="00651847" w:rsidP="00651847">
      <w:pPr>
        <w:spacing w:line="276" w:lineRule="auto"/>
        <w:jc w:val="both"/>
        <w:rPr>
          <w:rFonts w:ascii="Arial" w:eastAsia="Times New Roman" w:hAnsi="Arial" w:cs="Arial"/>
          <w:bCs/>
          <w:color w:val="000000"/>
          <w:sz w:val="24"/>
          <w:szCs w:val="24"/>
        </w:rPr>
      </w:pPr>
      <w:r w:rsidRPr="00651847">
        <w:rPr>
          <w:rFonts w:ascii="Arial" w:eastAsia="Times New Roman" w:hAnsi="Arial" w:cs="Arial"/>
          <w:bCs/>
          <w:color w:val="000000"/>
          <w:sz w:val="24"/>
          <w:szCs w:val="24"/>
        </w:rPr>
        <w:t>Asimismo, invoca instrumentos internacionales suscritos y ratificados por Chile, en particular la Convención sobre los Derechos de las Personas con Discapacidad, que impone una interpretación restrictiva de toda limitación a la capacidad jurídica y al ejercicio de las garantías constitucionales de las personas en situación de discapacidad.</w:t>
      </w:r>
    </w:p>
    <w:p w14:paraId="22CF994C" w14:textId="36EEE476" w:rsidR="00651847" w:rsidRDefault="00651847" w:rsidP="00651847">
      <w:pPr>
        <w:spacing w:line="276" w:lineRule="auto"/>
        <w:jc w:val="both"/>
        <w:rPr>
          <w:rFonts w:ascii="Arial" w:eastAsia="Times New Roman" w:hAnsi="Arial" w:cs="Arial"/>
          <w:bCs/>
          <w:color w:val="000000"/>
          <w:sz w:val="24"/>
          <w:szCs w:val="24"/>
        </w:rPr>
      </w:pPr>
      <w:r w:rsidRPr="00651847">
        <w:rPr>
          <w:rFonts w:ascii="Arial" w:eastAsia="Times New Roman" w:hAnsi="Arial" w:cs="Arial"/>
          <w:bCs/>
          <w:color w:val="000000"/>
          <w:sz w:val="24"/>
          <w:szCs w:val="24"/>
        </w:rPr>
        <w:t>Por último, la reclamación desarrolla el principio de participación que privilegia la mayor participación ciudadana en la elección de sus autoridades, apoyándose en jurisprudencia del Tribunal Calificador de Elecciones que resalta el valor esencial del sufragio en una sociedad democrática.</w:t>
      </w:r>
    </w:p>
    <w:p w14:paraId="17F43CA1" w14:textId="71A2AACF" w:rsidR="00651847" w:rsidRDefault="00651847" w:rsidP="00651847">
      <w:pPr>
        <w:spacing w:line="276" w:lineRule="auto"/>
        <w:jc w:val="both"/>
        <w:rPr>
          <w:rFonts w:ascii="Arial" w:eastAsia="Times New Roman" w:hAnsi="Arial" w:cs="Arial"/>
          <w:bCs/>
          <w:color w:val="000000"/>
          <w:sz w:val="24"/>
          <w:szCs w:val="24"/>
        </w:rPr>
      </w:pPr>
      <w:r w:rsidRPr="00651847">
        <w:rPr>
          <w:rFonts w:ascii="Arial" w:eastAsia="Times New Roman" w:hAnsi="Arial" w:cs="Arial"/>
          <w:bCs/>
          <w:color w:val="000000"/>
          <w:sz w:val="24"/>
          <w:szCs w:val="24"/>
        </w:rPr>
        <w:t>El tribunal, luego de oír a la afectada, a sus progenitores, y revisar el informe del SERVEL, determinó que la interdicción tiene efectos estrictamente patrimoniales y que la exclusión del derecho a sufragio constituye un efecto patrimonial no declarado expresamente por la sentencia civil.</w:t>
      </w:r>
    </w:p>
    <w:p w14:paraId="591822E7" w14:textId="77777777" w:rsidR="00651847" w:rsidRPr="00D60468" w:rsidRDefault="00651847" w:rsidP="00651847">
      <w:pPr>
        <w:spacing w:line="276" w:lineRule="auto"/>
        <w:jc w:val="both"/>
        <w:rPr>
          <w:rFonts w:ascii="Arial" w:eastAsia="Times New Roman" w:hAnsi="Arial" w:cs="Arial"/>
          <w:bCs/>
          <w:color w:val="000000"/>
          <w:sz w:val="24"/>
          <w:szCs w:val="24"/>
        </w:rPr>
      </w:pPr>
    </w:p>
    <w:p w14:paraId="4B07D91A" w14:textId="735387DF" w:rsidR="00DC42B4" w:rsidRPr="00CA5332" w:rsidRDefault="00521D3C" w:rsidP="002F5181">
      <w:pPr>
        <w:numPr>
          <w:ilvl w:val="0"/>
          <w:numId w:val="2"/>
        </w:numPr>
        <w:pBdr>
          <w:top w:val="nil"/>
          <w:left w:val="nil"/>
          <w:bottom w:val="nil"/>
          <w:right w:val="nil"/>
          <w:between w:val="nil"/>
        </w:pBdr>
        <w:spacing w:line="276" w:lineRule="auto"/>
        <w:jc w:val="both"/>
        <w:rPr>
          <w:rFonts w:ascii="Arial" w:eastAsia="Times New Roman" w:hAnsi="Arial" w:cs="Arial"/>
          <w:b/>
          <w:color w:val="000000"/>
          <w:sz w:val="24"/>
          <w:szCs w:val="24"/>
        </w:rPr>
      </w:pPr>
      <w:r w:rsidRPr="00187ECC">
        <w:rPr>
          <w:rFonts w:ascii="Arial" w:eastAsia="Times New Roman" w:hAnsi="Arial" w:cs="Arial"/>
          <w:b/>
          <w:color w:val="000000"/>
          <w:sz w:val="24"/>
          <w:szCs w:val="24"/>
        </w:rPr>
        <w:t>DERECHO</w:t>
      </w:r>
    </w:p>
    <w:p w14:paraId="538FD232" w14:textId="4373C5C5" w:rsidR="00B13F8B" w:rsidRDefault="00651847" w:rsidP="007E7F6F">
      <w:pPr>
        <w:pBdr>
          <w:top w:val="nil"/>
          <w:left w:val="nil"/>
          <w:bottom w:val="nil"/>
          <w:right w:val="nil"/>
          <w:between w:val="nil"/>
        </w:pBdr>
        <w:spacing w:line="276" w:lineRule="auto"/>
        <w:jc w:val="both"/>
        <w:rPr>
          <w:rFonts w:ascii="Arial" w:eastAsia="Times New Roman" w:hAnsi="Arial" w:cs="Arial"/>
          <w:sz w:val="24"/>
          <w:szCs w:val="24"/>
        </w:rPr>
      </w:pPr>
      <w:r w:rsidRPr="00651847">
        <w:rPr>
          <w:rFonts w:ascii="Arial" w:eastAsia="Times New Roman" w:hAnsi="Arial" w:cs="Arial"/>
          <w:sz w:val="24"/>
          <w:szCs w:val="24"/>
        </w:rPr>
        <w:t>El Segundo Tribunal Electoral de la Región Metropolitana resuelve que la interdicción civil decretada por causa de demencia no puede interpretarse como una causal automática</w:t>
      </w:r>
      <w:r>
        <w:rPr>
          <w:rFonts w:ascii="Arial" w:eastAsia="Times New Roman" w:hAnsi="Arial" w:cs="Arial"/>
          <w:sz w:val="24"/>
          <w:szCs w:val="24"/>
        </w:rPr>
        <w:t xml:space="preserve"> </w:t>
      </w:r>
      <w:r w:rsidRPr="00651847">
        <w:rPr>
          <w:rFonts w:ascii="Arial" w:eastAsia="Times New Roman" w:hAnsi="Arial" w:cs="Arial"/>
          <w:sz w:val="24"/>
          <w:szCs w:val="24"/>
        </w:rPr>
        <w:t>de suspensión del derecho a sufragio, al no existir una declaración judicial expresa que prive de dicho derecho.</w:t>
      </w:r>
    </w:p>
    <w:p w14:paraId="5B91268C" w14:textId="3D07A29D" w:rsidR="00651847" w:rsidRDefault="00651847" w:rsidP="007E7F6F">
      <w:pPr>
        <w:pBdr>
          <w:top w:val="nil"/>
          <w:left w:val="nil"/>
          <w:bottom w:val="nil"/>
          <w:right w:val="nil"/>
          <w:between w:val="nil"/>
        </w:pBdr>
        <w:spacing w:line="276" w:lineRule="auto"/>
        <w:jc w:val="both"/>
        <w:rPr>
          <w:rFonts w:ascii="Arial" w:eastAsia="Times New Roman" w:hAnsi="Arial" w:cs="Arial"/>
          <w:sz w:val="24"/>
          <w:szCs w:val="24"/>
        </w:rPr>
      </w:pPr>
      <w:r w:rsidRPr="00651847">
        <w:rPr>
          <w:rFonts w:ascii="Arial" w:eastAsia="Times New Roman" w:hAnsi="Arial" w:cs="Arial"/>
          <w:sz w:val="24"/>
          <w:szCs w:val="24"/>
        </w:rPr>
        <w:t>La decisión se fundamenta en una interpretación restrictiva del artículo 16 N°1 de la Constitución Política de la República y de los artículos 13 letra c) y 18 de la Ley N°18.556 sobre Sistema de Inscripciones Electorales y Servicio Electoral, que regulan la exclusión del padrón electoral en casos de interdicción. El tribunal sostuvo que el efecto directo de la interdicción es patrimonial y que la eventual consecuencia extrapatrimonial, como puede ser la suspensión del voto, no puede aplicarse sin un pronunciamiento judicial específico</w:t>
      </w:r>
      <w:r>
        <w:rPr>
          <w:rFonts w:ascii="Arial" w:eastAsia="Times New Roman" w:hAnsi="Arial" w:cs="Arial"/>
          <w:sz w:val="24"/>
          <w:szCs w:val="24"/>
        </w:rPr>
        <w:t>.</w:t>
      </w:r>
    </w:p>
    <w:p w14:paraId="47D34557" w14:textId="764344E0" w:rsidR="00651847" w:rsidRDefault="00651847" w:rsidP="007E7F6F">
      <w:pPr>
        <w:pBdr>
          <w:top w:val="nil"/>
          <w:left w:val="nil"/>
          <w:bottom w:val="nil"/>
          <w:right w:val="nil"/>
          <w:between w:val="nil"/>
        </w:pBdr>
        <w:spacing w:line="276" w:lineRule="auto"/>
        <w:jc w:val="both"/>
        <w:rPr>
          <w:rFonts w:ascii="Arial" w:eastAsia="Times New Roman" w:hAnsi="Arial" w:cs="Arial"/>
          <w:sz w:val="24"/>
          <w:szCs w:val="24"/>
        </w:rPr>
      </w:pPr>
      <w:r w:rsidRPr="00651847">
        <w:rPr>
          <w:rFonts w:ascii="Arial" w:eastAsia="Times New Roman" w:hAnsi="Arial" w:cs="Arial"/>
          <w:sz w:val="24"/>
          <w:szCs w:val="24"/>
        </w:rPr>
        <w:lastRenderedPageBreak/>
        <w:t>El tribunal destaca que, si bien la normativa del Código Civil constituye la regla general aplicable en materia de interdicciones y sus efectos se proyectan de manera general, dichos efectos no son absolutos. Conforme al artículo 13 del mismo cuerpo legal, las consecuencias de la interdicción pueden verse limitadas por leyes especiales posteriores, como ocurre en el presente caso. En virtud de dicha normativa, se concluye que la interdicción por causa de demencia no se extiende automáticamente a las actividades extrapatrimoniales, pues su finalidad principal es de carácter patrimonial. Si bien, el fallo reconoce que, en principio, la declaración de interdicción habilita al Servicio Electoral para excluir del padrón a quien ha sido declarado interdicto, dando cumplimiento formal al artículo 16 N°1 de la Constitución Política de la República; sin embargo, esta exclusión no puede aplicarse de manera automática sin atender a los límites que imponen las leyes especiales y los tratados internacionales en materia de derechos de las personas con discapacidad.</w:t>
      </w:r>
    </w:p>
    <w:p w14:paraId="3C6428D2" w14:textId="5BCE54D9" w:rsidR="00651847" w:rsidRDefault="00651847" w:rsidP="007E7F6F">
      <w:pPr>
        <w:pBdr>
          <w:top w:val="nil"/>
          <w:left w:val="nil"/>
          <w:bottom w:val="nil"/>
          <w:right w:val="nil"/>
          <w:between w:val="nil"/>
        </w:pBdr>
        <w:spacing w:line="276" w:lineRule="auto"/>
        <w:jc w:val="both"/>
        <w:rPr>
          <w:rFonts w:ascii="Arial" w:eastAsia="Times New Roman" w:hAnsi="Arial" w:cs="Arial"/>
          <w:sz w:val="24"/>
          <w:szCs w:val="24"/>
        </w:rPr>
      </w:pPr>
      <w:r w:rsidRPr="00651847">
        <w:rPr>
          <w:rFonts w:ascii="Arial" w:eastAsia="Times New Roman" w:hAnsi="Arial" w:cs="Arial"/>
          <w:sz w:val="24"/>
          <w:szCs w:val="24"/>
        </w:rPr>
        <w:t>Asimismo, la sentencia incorpora los estándares de la Convención sobre los Derechos de la Personas con Discapacidad (ratificada por Chile en el año 2008) y de la Ley N°20.422 sobre Igualdad de Oportunidades e Inclusión Social de Personas con Discapacidad, que prohíbe toda forma de discriminación fundada en la discapacidad y</w:t>
      </w:r>
      <w:r>
        <w:rPr>
          <w:rFonts w:ascii="Arial" w:eastAsia="Times New Roman" w:hAnsi="Arial" w:cs="Arial"/>
          <w:sz w:val="24"/>
          <w:szCs w:val="24"/>
        </w:rPr>
        <w:t xml:space="preserve"> </w:t>
      </w:r>
      <w:r w:rsidRPr="00651847">
        <w:rPr>
          <w:rFonts w:ascii="Arial" w:eastAsia="Times New Roman" w:hAnsi="Arial" w:cs="Arial"/>
          <w:sz w:val="24"/>
          <w:szCs w:val="24"/>
        </w:rPr>
        <w:t>exige garantizar la participación plena en la vida política y pública. En virtud de estos instrumentos, el tribunal concluye que la exclusión automática del padrón electoral constituye una discriminación indirecta, vulnerando el principio de igualdad ante la ley.</w:t>
      </w:r>
    </w:p>
    <w:p w14:paraId="1DA22AD9" w14:textId="0C8F85DC" w:rsidR="00651847" w:rsidRPr="00F715B1" w:rsidRDefault="00651847" w:rsidP="007E7F6F">
      <w:pPr>
        <w:pBdr>
          <w:top w:val="nil"/>
          <w:left w:val="nil"/>
          <w:bottom w:val="nil"/>
          <w:right w:val="nil"/>
          <w:between w:val="nil"/>
        </w:pBdr>
        <w:spacing w:line="276" w:lineRule="auto"/>
        <w:jc w:val="both"/>
        <w:rPr>
          <w:rFonts w:ascii="Arial" w:eastAsia="Times New Roman" w:hAnsi="Arial" w:cs="Arial"/>
          <w:sz w:val="24"/>
          <w:szCs w:val="24"/>
          <w:lang w:val="es-CL"/>
        </w:rPr>
      </w:pPr>
      <w:r w:rsidRPr="00651847">
        <w:rPr>
          <w:rFonts w:ascii="Arial" w:eastAsia="Times New Roman" w:hAnsi="Arial" w:cs="Arial"/>
          <w:sz w:val="24"/>
          <w:szCs w:val="24"/>
        </w:rPr>
        <w:t>Finalmente, atendido que no existe una norma especial que extienda los efectos de la interdicción al ámbito de los derechos políticos, y considerando la relevancia del sufragio como pilar de la participación ciudadana democrática, el tribunal acoge la reclamación y ordena al SERVEL reincorporar a la recurrente al padrón electoral auditado.</w:t>
      </w:r>
    </w:p>
    <w:sectPr w:rsidR="00651847" w:rsidRPr="00F715B1" w:rsidSect="00706AE8">
      <w:headerReference w:type="default" r:id="rId9"/>
      <w:footerReference w:type="even" r:id="rId10"/>
      <w:footerReference w:type="default" r:id="rId11"/>
      <w:pgSz w:w="12240" w:h="15840"/>
      <w:pgMar w:top="1418" w:right="1418" w:bottom="1418" w:left="1418" w:header="708" w:footer="70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107B6" w14:textId="77777777" w:rsidR="00A85AB7" w:rsidRDefault="00A85AB7" w:rsidP="00685413">
      <w:pPr>
        <w:spacing w:after="0" w:line="240" w:lineRule="auto"/>
      </w:pPr>
      <w:r>
        <w:separator/>
      </w:r>
    </w:p>
  </w:endnote>
  <w:endnote w:type="continuationSeparator" w:id="0">
    <w:p w14:paraId="53C6CF89" w14:textId="77777777" w:rsidR="00A85AB7" w:rsidRDefault="00A85AB7" w:rsidP="006854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687147321"/>
      <w:docPartObj>
        <w:docPartGallery w:val="Page Numbers (Bottom of Page)"/>
        <w:docPartUnique/>
      </w:docPartObj>
    </w:sdtPr>
    <w:sdtContent>
      <w:p w14:paraId="6068538F" w14:textId="34ABE6C6" w:rsidR="00207B39" w:rsidRDefault="00207B39" w:rsidP="009379E6">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1CB17F2B" w14:textId="77777777" w:rsidR="00207B39" w:rsidRDefault="00207B39" w:rsidP="002B0BCD">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543059073"/>
      <w:docPartObj>
        <w:docPartGallery w:val="Page Numbers (Bottom of Page)"/>
        <w:docPartUnique/>
      </w:docPartObj>
    </w:sdtPr>
    <w:sdtContent>
      <w:p w14:paraId="40A6145D" w14:textId="22B25CEC" w:rsidR="00207B39" w:rsidRDefault="00207B39" w:rsidP="009379E6">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sidR="00EF08A9">
          <w:rPr>
            <w:rStyle w:val="Nmerodepgina"/>
            <w:noProof/>
          </w:rPr>
          <w:t>3</w:t>
        </w:r>
        <w:r>
          <w:rPr>
            <w:rStyle w:val="Nmerodepgina"/>
          </w:rPr>
          <w:fldChar w:fldCharType="end"/>
        </w:r>
      </w:p>
    </w:sdtContent>
  </w:sdt>
  <w:p w14:paraId="0732BDC0" w14:textId="77777777" w:rsidR="00207B39" w:rsidRDefault="00207B39" w:rsidP="002B0BCD">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AED5E" w14:textId="77777777" w:rsidR="00A85AB7" w:rsidRDefault="00A85AB7" w:rsidP="00685413">
      <w:pPr>
        <w:spacing w:after="0" w:line="240" w:lineRule="auto"/>
      </w:pPr>
      <w:r>
        <w:separator/>
      </w:r>
    </w:p>
  </w:footnote>
  <w:footnote w:type="continuationSeparator" w:id="0">
    <w:p w14:paraId="1D639631" w14:textId="77777777" w:rsidR="00A85AB7" w:rsidRDefault="00A85AB7" w:rsidP="006854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4DA2E" w14:textId="7B0915AC" w:rsidR="00685413" w:rsidRDefault="00985681">
    <w:pPr>
      <w:pStyle w:val="Encabezado"/>
      <w:rPr>
        <w:rFonts w:ascii="Times New Roman" w:hAnsi="Times New Roman" w:cs="Times New Roman"/>
        <w:i/>
        <w:iCs/>
        <w:sz w:val="20"/>
        <w:szCs w:val="20"/>
      </w:rPr>
    </w:pPr>
    <w:r>
      <w:rPr>
        <w:rFonts w:ascii="Times New Roman" w:hAnsi="Times New Roman" w:cs="Times New Roman"/>
        <w:i/>
        <w:iCs/>
        <w:sz w:val="20"/>
        <w:szCs w:val="20"/>
      </w:rPr>
      <w:tab/>
    </w:r>
    <w:r w:rsidR="008A0E5E">
      <w:rPr>
        <w:rFonts w:ascii="Times New Roman" w:hAnsi="Times New Roman" w:cs="Times New Roman"/>
        <w:i/>
        <w:iCs/>
        <w:sz w:val="20"/>
        <w:szCs w:val="20"/>
      </w:rPr>
      <w:tab/>
    </w:r>
  </w:p>
  <w:p w14:paraId="52BDF291" w14:textId="7FC220D5" w:rsidR="00A37F1C" w:rsidRDefault="00EF08A9" w:rsidP="00EF08A9">
    <w:pPr>
      <w:pStyle w:val="Encabezado"/>
      <w:jc w:val="right"/>
    </w:pPr>
    <w:r>
      <w:rPr>
        <w:noProof/>
        <w:lang w:val="es-CL"/>
      </w:rPr>
      <w:drawing>
        <wp:inline distT="0" distB="0" distL="0" distR="0" wp14:anchorId="55728B6E" wp14:editId="265BE523">
          <wp:extent cx="993775" cy="1120775"/>
          <wp:effectExtent l="0" t="0" r="0" b="3175"/>
          <wp:docPr id="2" name="image2.png" descr="Imagen que contiene 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2" name="image2.png" descr="Imagen que contiene Texto&#10;&#10;Descripción generada automáticamente"/>
                  <pic:cNvPicPr/>
                </pic:nvPicPr>
                <pic:blipFill>
                  <a:blip r:embed="rId1"/>
                  <a:srcRect/>
                  <a:stretch>
                    <a:fillRect/>
                  </a:stretch>
                </pic:blipFill>
                <pic:spPr>
                  <a:xfrm>
                    <a:off x="0" y="0"/>
                    <a:ext cx="993775" cy="1120775"/>
                  </a:xfrm>
                  <a:prstGeom prst="rect">
                    <a:avLst/>
                  </a:prstGeom>
                  <a:ln/>
                </pic:spPr>
              </pic:pic>
            </a:graphicData>
          </a:graphic>
        </wp:inline>
      </w:drawing>
    </w:r>
  </w:p>
  <w:p w14:paraId="7B411028" w14:textId="77777777" w:rsidR="00A37F1C" w:rsidRPr="00985681" w:rsidRDefault="00A37F1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75711"/>
    <w:multiLevelType w:val="multilevel"/>
    <w:tmpl w:val="DDAEDC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9007CC1"/>
    <w:multiLevelType w:val="hybridMultilevel"/>
    <w:tmpl w:val="4922FD18"/>
    <w:lvl w:ilvl="0" w:tplc="340A0017">
      <w:start w:val="1"/>
      <w:numFmt w:val="lowerLetter"/>
      <w:lvlText w:val="%1)"/>
      <w:lvlJc w:val="left"/>
      <w:pPr>
        <w:ind w:left="360" w:hanging="360"/>
      </w:pPr>
      <w:rPr>
        <w:rFonts w:hint="default"/>
      </w:r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2" w15:restartNumberingAfterBreak="0">
    <w:nsid w:val="296136B2"/>
    <w:multiLevelType w:val="multilevel"/>
    <w:tmpl w:val="10888B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031901"/>
    <w:multiLevelType w:val="multilevel"/>
    <w:tmpl w:val="01962EB4"/>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D564E33"/>
    <w:multiLevelType w:val="hybridMultilevel"/>
    <w:tmpl w:val="B64AAC90"/>
    <w:lvl w:ilvl="0" w:tplc="340A0017">
      <w:start w:val="1"/>
      <w:numFmt w:val="lowerLetter"/>
      <w:lvlText w:val="%1)"/>
      <w:lvlJc w:val="left"/>
      <w:pPr>
        <w:ind w:left="360" w:hanging="360"/>
      </w:pPr>
      <w:rPr>
        <w:rFonts w:hint="default"/>
      </w:r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5" w15:restartNumberingAfterBreak="0">
    <w:nsid w:val="40CD316E"/>
    <w:multiLevelType w:val="multilevel"/>
    <w:tmpl w:val="F294B26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688687D"/>
    <w:multiLevelType w:val="multilevel"/>
    <w:tmpl w:val="B8680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4927E27"/>
    <w:multiLevelType w:val="hybridMultilevel"/>
    <w:tmpl w:val="724AE208"/>
    <w:lvl w:ilvl="0" w:tplc="4C141678">
      <w:start w:val="1"/>
      <w:numFmt w:val="upperRoman"/>
      <w:lvlText w:val="%1."/>
      <w:lvlJc w:val="left"/>
      <w:pPr>
        <w:ind w:left="1080" w:hanging="7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8" w15:restartNumberingAfterBreak="0">
    <w:nsid w:val="652A5254"/>
    <w:multiLevelType w:val="multilevel"/>
    <w:tmpl w:val="62223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8665850">
    <w:abstractNumId w:val="0"/>
  </w:num>
  <w:num w:numId="2" w16cid:durableId="318537110">
    <w:abstractNumId w:val="3"/>
  </w:num>
  <w:num w:numId="3" w16cid:durableId="1282344467">
    <w:abstractNumId w:val="7"/>
  </w:num>
  <w:num w:numId="4" w16cid:durableId="577984596">
    <w:abstractNumId w:val="2"/>
  </w:num>
  <w:num w:numId="5" w16cid:durableId="298344346">
    <w:abstractNumId w:val="6"/>
  </w:num>
  <w:num w:numId="6" w16cid:durableId="1711221143">
    <w:abstractNumId w:val="8"/>
  </w:num>
  <w:num w:numId="7" w16cid:durableId="251858882">
    <w:abstractNumId w:val="5"/>
  </w:num>
  <w:num w:numId="8" w16cid:durableId="2027439459">
    <w:abstractNumId w:val="1"/>
  </w:num>
  <w:num w:numId="9" w16cid:durableId="4001791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8B0"/>
    <w:rsid w:val="000008C2"/>
    <w:rsid w:val="00034970"/>
    <w:rsid w:val="00055B34"/>
    <w:rsid w:val="0006046F"/>
    <w:rsid w:val="00077592"/>
    <w:rsid w:val="000B49C0"/>
    <w:rsid w:val="000C5C66"/>
    <w:rsid w:val="000D6208"/>
    <w:rsid w:val="000E0D1E"/>
    <w:rsid w:val="00100406"/>
    <w:rsid w:val="00110D81"/>
    <w:rsid w:val="00166735"/>
    <w:rsid w:val="00187ECC"/>
    <w:rsid w:val="001C4937"/>
    <w:rsid w:val="001C613D"/>
    <w:rsid w:val="001E72E4"/>
    <w:rsid w:val="001F4BC5"/>
    <w:rsid w:val="001F7D76"/>
    <w:rsid w:val="00207B39"/>
    <w:rsid w:val="00222DB0"/>
    <w:rsid w:val="00224880"/>
    <w:rsid w:val="00234007"/>
    <w:rsid w:val="00240B33"/>
    <w:rsid w:val="002555D7"/>
    <w:rsid w:val="002B0BCD"/>
    <w:rsid w:val="002E146A"/>
    <w:rsid w:val="002F5181"/>
    <w:rsid w:val="003076E1"/>
    <w:rsid w:val="003174F0"/>
    <w:rsid w:val="00346579"/>
    <w:rsid w:val="00360FE0"/>
    <w:rsid w:val="00376E6C"/>
    <w:rsid w:val="00382331"/>
    <w:rsid w:val="00394A29"/>
    <w:rsid w:val="003D0AD2"/>
    <w:rsid w:val="003E3ADE"/>
    <w:rsid w:val="003F04A0"/>
    <w:rsid w:val="00435A85"/>
    <w:rsid w:val="004561B7"/>
    <w:rsid w:val="004563EC"/>
    <w:rsid w:val="00475BC2"/>
    <w:rsid w:val="004E69B5"/>
    <w:rsid w:val="00511C7D"/>
    <w:rsid w:val="00514649"/>
    <w:rsid w:val="00521D3C"/>
    <w:rsid w:val="00541927"/>
    <w:rsid w:val="00555B90"/>
    <w:rsid w:val="00573180"/>
    <w:rsid w:val="0058402A"/>
    <w:rsid w:val="005F5E51"/>
    <w:rsid w:val="0062044B"/>
    <w:rsid w:val="0063260D"/>
    <w:rsid w:val="006433CE"/>
    <w:rsid w:val="00644278"/>
    <w:rsid w:val="00651847"/>
    <w:rsid w:val="00656A9E"/>
    <w:rsid w:val="006676BD"/>
    <w:rsid w:val="00685413"/>
    <w:rsid w:val="006A020D"/>
    <w:rsid w:val="006A772D"/>
    <w:rsid w:val="00706AE8"/>
    <w:rsid w:val="00712E4A"/>
    <w:rsid w:val="007223E0"/>
    <w:rsid w:val="007506A3"/>
    <w:rsid w:val="007A5DCF"/>
    <w:rsid w:val="007B59FC"/>
    <w:rsid w:val="007C2D0B"/>
    <w:rsid w:val="007C341B"/>
    <w:rsid w:val="007D03DC"/>
    <w:rsid w:val="007D1C3C"/>
    <w:rsid w:val="007D626D"/>
    <w:rsid w:val="007E7F6F"/>
    <w:rsid w:val="007F2E16"/>
    <w:rsid w:val="00805848"/>
    <w:rsid w:val="00826893"/>
    <w:rsid w:val="00830821"/>
    <w:rsid w:val="00830CD5"/>
    <w:rsid w:val="00834DF0"/>
    <w:rsid w:val="0087473C"/>
    <w:rsid w:val="00880A74"/>
    <w:rsid w:val="008A0E5E"/>
    <w:rsid w:val="008A626F"/>
    <w:rsid w:val="008B2C44"/>
    <w:rsid w:val="008F73B6"/>
    <w:rsid w:val="008F79B6"/>
    <w:rsid w:val="009018CA"/>
    <w:rsid w:val="009150E0"/>
    <w:rsid w:val="00950D42"/>
    <w:rsid w:val="00980D26"/>
    <w:rsid w:val="00985681"/>
    <w:rsid w:val="00996B87"/>
    <w:rsid w:val="009F0D22"/>
    <w:rsid w:val="00A0300F"/>
    <w:rsid w:val="00A035F5"/>
    <w:rsid w:val="00A054F9"/>
    <w:rsid w:val="00A0716B"/>
    <w:rsid w:val="00A37F1C"/>
    <w:rsid w:val="00A40C1B"/>
    <w:rsid w:val="00A80EC0"/>
    <w:rsid w:val="00A85AB7"/>
    <w:rsid w:val="00AB0A2E"/>
    <w:rsid w:val="00AB4D07"/>
    <w:rsid w:val="00AE238E"/>
    <w:rsid w:val="00B06A9D"/>
    <w:rsid w:val="00B13F8B"/>
    <w:rsid w:val="00B14F9D"/>
    <w:rsid w:val="00B65608"/>
    <w:rsid w:val="00B7199C"/>
    <w:rsid w:val="00B901F0"/>
    <w:rsid w:val="00B95F64"/>
    <w:rsid w:val="00BA628F"/>
    <w:rsid w:val="00BB6FA6"/>
    <w:rsid w:val="00BC0B0C"/>
    <w:rsid w:val="00BC0CE9"/>
    <w:rsid w:val="00BC469E"/>
    <w:rsid w:val="00C375A1"/>
    <w:rsid w:val="00C46AFB"/>
    <w:rsid w:val="00C71E2A"/>
    <w:rsid w:val="00C730E0"/>
    <w:rsid w:val="00CA5332"/>
    <w:rsid w:val="00CD4139"/>
    <w:rsid w:val="00CE0063"/>
    <w:rsid w:val="00CE3727"/>
    <w:rsid w:val="00D214E5"/>
    <w:rsid w:val="00D46BF3"/>
    <w:rsid w:val="00D509CA"/>
    <w:rsid w:val="00D5743B"/>
    <w:rsid w:val="00D60468"/>
    <w:rsid w:val="00D76343"/>
    <w:rsid w:val="00D842F6"/>
    <w:rsid w:val="00D90288"/>
    <w:rsid w:val="00D96571"/>
    <w:rsid w:val="00DB285F"/>
    <w:rsid w:val="00DC1537"/>
    <w:rsid w:val="00DC42B4"/>
    <w:rsid w:val="00DF1D34"/>
    <w:rsid w:val="00DF28B0"/>
    <w:rsid w:val="00E05336"/>
    <w:rsid w:val="00E16E63"/>
    <w:rsid w:val="00E17C9A"/>
    <w:rsid w:val="00E77832"/>
    <w:rsid w:val="00E96AFC"/>
    <w:rsid w:val="00EF08A9"/>
    <w:rsid w:val="00EF712B"/>
    <w:rsid w:val="00F01AEC"/>
    <w:rsid w:val="00F050A6"/>
    <w:rsid w:val="00F22AC6"/>
    <w:rsid w:val="00F414FF"/>
    <w:rsid w:val="00F61CBB"/>
    <w:rsid w:val="00F715B1"/>
    <w:rsid w:val="00F739F6"/>
    <w:rsid w:val="00FD6DA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29CAA8"/>
  <w15:docId w15:val="{67D1E08D-AE24-4F51-8067-C270D660E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S" w:eastAsia="es-C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Prrafodelista">
    <w:name w:val="List Paragraph"/>
    <w:basedOn w:val="Normal"/>
    <w:uiPriority w:val="34"/>
    <w:qFormat/>
    <w:rsid w:val="00C965F1"/>
    <w:pPr>
      <w:ind w:left="720"/>
      <w:contextualSpacing/>
    </w:pPr>
  </w:style>
  <w:style w:type="table" w:styleId="Tablaconcuadrcula">
    <w:name w:val="Table Grid"/>
    <w:basedOn w:val="Tablanormal"/>
    <w:uiPriority w:val="39"/>
    <w:rsid w:val="00C965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 w:type="paragraph" w:styleId="Encabezado">
    <w:name w:val="header"/>
    <w:basedOn w:val="Normal"/>
    <w:link w:val="EncabezadoCar"/>
    <w:uiPriority w:val="99"/>
    <w:unhideWhenUsed/>
    <w:rsid w:val="0068541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85413"/>
  </w:style>
  <w:style w:type="paragraph" w:styleId="Piedepgina">
    <w:name w:val="footer"/>
    <w:basedOn w:val="Normal"/>
    <w:link w:val="PiedepginaCar"/>
    <w:uiPriority w:val="99"/>
    <w:unhideWhenUsed/>
    <w:rsid w:val="0068541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5413"/>
  </w:style>
  <w:style w:type="character" w:styleId="Refdecomentario">
    <w:name w:val="annotation reference"/>
    <w:basedOn w:val="Fuentedeprrafopredeter"/>
    <w:uiPriority w:val="99"/>
    <w:semiHidden/>
    <w:unhideWhenUsed/>
    <w:rsid w:val="00A37F1C"/>
    <w:rPr>
      <w:sz w:val="16"/>
      <w:szCs w:val="16"/>
    </w:rPr>
  </w:style>
  <w:style w:type="paragraph" w:styleId="Textocomentario">
    <w:name w:val="annotation text"/>
    <w:basedOn w:val="Normal"/>
    <w:link w:val="TextocomentarioCar"/>
    <w:uiPriority w:val="99"/>
    <w:semiHidden/>
    <w:unhideWhenUsed/>
    <w:rsid w:val="00A37F1C"/>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37F1C"/>
    <w:rPr>
      <w:sz w:val="20"/>
      <w:szCs w:val="20"/>
    </w:rPr>
  </w:style>
  <w:style w:type="paragraph" w:styleId="Asuntodelcomentario">
    <w:name w:val="annotation subject"/>
    <w:basedOn w:val="Textocomentario"/>
    <w:next w:val="Textocomentario"/>
    <w:link w:val="AsuntodelcomentarioCar"/>
    <w:uiPriority w:val="99"/>
    <w:semiHidden/>
    <w:unhideWhenUsed/>
    <w:rsid w:val="00A37F1C"/>
    <w:rPr>
      <w:b/>
      <w:bCs/>
    </w:rPr>
  </w:style>
  <w:style w:type="character" w:customStyle="1" w:styleId="AsuntodelcomentarioCar">
    <w:name w:val="Asunto del comentario Car"/>
    <w:basedOn w:val="TextocomentarioCar"/>
    <w:link w:val="Asuntodelcomentario"/>
    <w:uiPriority w:val="99"/>
    <w:semiHidden/>
    <w:rsid w:val="00A37F1C"/>
    <w:rPr>
      <w:b/>
      <w:bCs/>
      <w:sz w:val="20"/>
      <w:szCs w:val="20"/>
    </w:rPr>
  </w:style>
  <w:style w:type="paragraph" w:styleId="Textodeglobo">
    <w:name w:val="Balloon Text"/>
    <w:basedOn w:val="Normal"/>
    <w:link w:val="TextodegloboCar"/>
    <w:uiPriority w:val="99"/>
    <w:semiHidden/>
    <w:unhideWhenUsed/>
    <w:rsid w:val="00A37F1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37F1C"/>
    <w:rPr>
      <w:rFonts w:ascii="Segoe UI" w:hAnsi="Segoe UI" w:cs="Segoe UI"/>
      <w:sz w:val="18"/>
      <w:szCs w:val="18"/>
    </w:rPr>
  </w:style>
  <w:style w:type="paragraph" w:styleId="Revisin">
    <w:name w:val="Revision"/>
    <w:hidden/>
    <w:uiPriority w:val="99"/>
    <w:semiHidden/>
    <w:rsid w:val="00207B39"/>
    <w:pPr>
      <w:spacing w:after="0" w:line="240" w:lineRule="auto"/>
    </w:pPr>
  </w:style>
  <w:style w:type="character" w:styleId="Nmerodepgina">
    <w:name w:val="page number"/>
    <w:basedOn w:val="Fuentedeprrafopredeter"/>
    <w:uiPriority w:val="99"/>
    <w:semiHidden/>
    <w:unhideWhenUsed/>
    <w:rsid w:val="00207B39"/>
  </w:style>
  <w:style w:type="table" w:customStyle="1" w:styleId="Tablaconcuadrcula1">
    <w:name w:val="Tabla con cuadrícula1"/>
    <w:basedOn w:val="Tablanormal"/>
    <w:next w:val="Tablaconcuadrcula"/>
    <w:uiPriority w:val="39"/>
    <w:rsid w:val="002B0BCD"/>
    <w:pPr>
      <w:spacing w:after="0" w:line="240" w:lineRule="auto"/>
    </w:pPr>
    <w:rPr>
      <w:rFonts w:ascii="Times New Roman" w:eastAsiaTheme="minorHAnsi" w:hAnsi="Times New Roman" w:cs="Courier New"/>
      <w:color w:val="000000"/>
      <w:kern w:val="2"/>
      <w:sz w:val="20"/>
      <w:szCs w:val="24"/>
      <w:lang w:val="es-CL"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58620">
      <w:bodyDiv w:val="1"/>
      <w:marLeft w:val="0"/>
      <w:marRight w:val="0"/>
      <w:marTop w:val="0"/>
      <w:marBottom w:val="0"/>
      <w:divBdr>
        <w:top w:val="none" w:sz="0" w:space="0" w:color="auto"/>
        <w:left w:val="none" w:sz="0" w:space="0" w:color="auto"/>
        <w:bottom w:val="none" w:sz="0" w:space="0" w:color="auto"/>
        <w:right w:val="none" w:sz="0" w:space="0" w:color="auto"/>
      </w:divBdr>
    </w:div>
    <w:div w:id="123741132">
      <w:bodyDiv w:val="1"/>
      <w:marLeft w:val="0"/>
      <w:marRight w:val="0"/>
      <w:marTop w:val="0"/>
      <w:marBottom w:val="0"/>
      <w:divBdr>
        <w:top w:val="none" w:sz="0" w:space="0" w:color="auto"/>
        <w:left w:val="none" w:sz="0" w:space="0" w:color="auto"/>
        <w:bottom w:val="none" w:sz="0" w:space="0" w:color="auto"/>
        <w:right w:val="none" w:sz="0" w:space="0" w:color="auto"/>
      </w:divBdr>
    </w:div>
    <w:div w:id="201292363">
      <w:bodyDiv w:val="1"/>
      <w:marLeft w:val="0"/>
      <w:marRight w:val="0"/>
      <w:marTop w:val="0"/>
      <w:marBottom w:val="0"/>
      <w:divBdr>
        <w:top w:val="none" w:sz="0" w:space="0" w:color="auto"/>
        <w:left w:val="none" w:sz="0" w:space="0" w:color="auto"/>
        <w:bottom w:val="none" w:sz="0" w:space="0" w:color="auto"/>
        <w:right w:val="none" w:sz="0" w:space="0" w:color="auto"/>
      </w:divBdr>
    </w:div>
    <w:div w:id="247887000">
      <w:bodyDiv w:val="1"/>
      <w:marLeft w:val="0"/>
      <w:marRight w:val="0"/>
      <w:marTop w:val="0"/>
      <w:marBottom w:val="0"/>
      <w:divBdr>
        <w:top w:val="none" w:sz="0" w:space="0" w:color="auto"/>
        <w:left w:val="none" w:sz="0" w:space="0" w:color="auto"/>
        <w:bottom w:val="none" w:sz="0" w:space="0" w:color="auto"/>
        <w:right w:val="none" w:sz="0" w:space="0" w:color="auto"/>
      </w:divBdr>
    </w:div>
    <w:div w:id="359204229">
      <w:bodyDiv w:val="1"/>
      <w:marLeft w:val="0"/>
      <w:marRight w:val="0"/>
      <w:marTop w:val="0"/>
      <w:marBottom w:val="0"/>
      <w:divBdr>
        <w:top w:val="none" w:sz="0" w:space="0" w:color="auto"/>
        <w:left w:val="none" w:sz="0" w:space="0" w:color="auto"/>
        <w:bottom w:val="none" w:sz="0" w:space="0" w:color="auto"/>
        <w:right w:val="none" w:sz="0" w:space="0" w:color="auto"/>
      </w:divBdr>
    </w:div>
    <w:div w:id="506141083">
      <w:bodyDiv w:val="1"/>
      <w:marLeft w:val="0"/>
      <w:marRight w:val="0"/>
      <w:marTop w:val="0"/>
      <w:marBottom w:val="0"/>
      <w:divBdr>
        <w:top w:val="none" w:sz="0" w:space="0" w:color="auto"/>
        <w:left w:val="none" w:sz="0" w:space="0" w:color="auto"/>
        <w:bottom w:val="none" w:sz="0" w:space="0" w:color="auto"/>
        <w:right w:val="none" w:sz="0" w:space="0" w:color="auto"/>
      </w:divBdr>
    </w:div>
    <w:div w:id="579294951">
      <w:bodyDiv w:val="1"/>
      <w:marLeft w:val="0"/>
      <w:marRight w:val="0"/>
      <w:marTop w:val="0"/>
      <w:marBottom w:val="0"/>
      <w:divBdr>
        <w:top w:val="none" w:sz="0" w:space="0" w:color="auto"/>
        <w:left w:val="none" w:sz="0" w:space="0" w:color="auto"/>
        <w:bottom w:val="none" w:sz="0" w:space="0" w:color="auto"/>
        <w:right w:val="none" w:sz="0" w:space="0" w:color="auto"/>
      </w:divBdr>
    </w:div>
    <w:div w:id="657878803">
      <w:bodyDiv w:val="1"/>
      <w:marLeft w:val="0"/>
      <w:marRight w:val="0"/>
      <w:marTop w:val="0"/>
      <w:marBottom w:val="0"/>
      <w:divBdr>
        <w:top w:val="none" w:sz="0" w:space="0" w:color="auto"/>
        <w:left w:val="none" w:sz="0" w:space="0" w:color="auto"/>
        <w:bottom w:val="none" w:sz="0" w:space="0" w:color="auto"/>
        <w:right w:val="none" w:sz="0" w:space="0" w:color="auto"/>
      </w:divBdr>
    </w:div>
    <w:div w:id="718356608">
      <w:bodyDiv w:val="1"/>
      <w:marLeft w:val="0"/>
      <w:marRight w:val="0"/>
      <w:marTop w:val="0"/>
      <w:marBottom w:val="0"/>
      <w:divBdr>
        <w:top w:val="none" w:sz="0" w:space="0" w:color="auto"/>
        <w:left w:val="none" w:sz="0" w:space="0" w:color="auto"/>
        <w:bottom w:val="none" w:sz="0" w:space="0" w:color="auto"/>
        <w:right w:val="none" w:sz="0" w:space="0" w:color="auto"/>
      </w:divBdr>
    </w:div>
    <w:div w:id="749228439">
      <w:bodyDiv w:val="1"/>
      <w:marLeft w:val="0"/>
      <w:marRight w:val="0"/>
      <w:marTop w:val="0"/>
      <w:marBottom w:val="0"/>
      <w:divBdr>
        <w:top w:val="none" w:sz="0" w:space="0" w:color="auto"/>
        <w:left w:val="none" w:sz="0" w:space="0" w:color="auto"/>
        <w:bottom w:val="none" w:sz="0" w:space="0" w:color="auto"/>
        <w:right w:val="none" w:sz="0" w:space="0" w:color="auto"/>
      </w:divBdr>
    </w:div>
    <w:div w:id="881598793">
      <w:bodyDiv w:val="1"/>
      <w:marLeft w:val="0"/>
      <w:marRight w:val="0"/>
      <w:marTop w:val="0"/>
      <w:marBottom w:val="0"/>
      <w:divBdr>
        <w:top w:val="none" w:sz="0" w:space="0" w:color="auto"/>
        <w:left w:val="none" w:sz="0" w:space="0" w:color="auto"/>
        <w:bottom w:val="none" w:sz="0" w:space="0" w:color="auto"/>
        <w:right w:val="none" w:sz="0" w:space="0" w:color="auto"/>
      </w:divBdr>
    </w:div>
    <w:div w:id="1104109358">
      <w:bodyDiv w:val="1"/>
      <w:marLeft w:val="0"/>
      <w:marRight w:val="0"/>
      <w:marTop w:val="0"/>
      <w:marBottom w:val="0"/>
      <w:divBdr>
        <w:top w:val="none" w:sz="0" w:space="0" w:color="auto"/>
        <w:left w:val="none" w:sz="0" w:space="0" w:color="auto"/>
        <w:bottom w:val="none" w:sz="0" w:space="0" w:color="auto"/>
        <w:right w:val="none" w:sz="0" w:space="0" w:color="auto"/>
      </w:divBdr>
    </w:div>
    <w:div w:id="1124888442">
      <w:bodyDiv w:val="1"/>
      <w:marLeft w:val="0"/>
      <w:marRight w:val="0"/>
      <w:marTop w:val="0"/>
      <w:marBottom w:val="0"/>
      <w:divBdr>
        <w:top w:val="none" w:sz="0" w:space="0" w:color="auto"/>
        <w:left w:val="none" w:sz="0" w:space="0" w:color="auto"/>
        <w:bottom w:val="none" w:sz="0" w:space="0" w:color="auto"/>
        <w:right w:val="none" w:sz="0" w:space="0" w:color="auto"/>
      </w:divBdr>
    </w:div>
    <w:div w:id="1134641674">
      <w:bodyDiv w:val="1"/>
      <w:marLeft w:val="0"/>
      <w:marRight w:val="0"/>
      <w:marTop w:val="0"/>
      <w:marBottom w:val="0"/>
      <w:divBdr>
        <w:top w:val="none" w:sz="0" w:space="0" w:color="auto"/>
        <w:left w:val="none" w:sz="0" w:space="0" w:color="auto"/>
        <w:bottom w:val="none" w:sz="0" w:space="0" w:color="auto"/>
        <w:right w:val="none" w:sz="0" w:space="0" w:color="auto"/>
      </w:divBdr>
    </w:div>
    <w:div w:id="1162966962">
      <w:bodyDiv w:val="1"/>
      <w:marLeft w:val="0"/>
      <w:marRight w:val="0"/>
      <w:marTop w:val="0"/>
      <w:marBottom w:val="0"/>
      <w:divBdr>
        <w:top w:val="none" w:sz="0" w:space="0" w:color="auto"/>
        <w:left w:val="none" w:sz="0" w:space="0" w:color="auto"/>
        <w:bottom w:val="none" w:sz="0" w:space="0" w:color="auto"/>
        <w:right w:val="none" w:sz="0" w:space="0" w:color="auto"/>
      </w:divBdr>
    </w:div>
    <w:div w:id="1188256542">
      <w:bodyDiv w:val="1"/>
      <w:marLeft w:val="0"/>
      <w:marRight w:val="0"/>
      <w:marTop w:val="0"/>
      <w:marBottom w:val="0"/>
      <w:divBdr>
        <w:top w:val="none" w:sz="0" w:space="0" w:color="auto"/>
        <w:left w:val="none" w:sz="0" w:space="0" w:color="auto"/>
        <w:bottom w:val="none" w:sz="0" w:space="0" w:color="auto"/>
        <w:right w:val="none" w:sz="0" w:space="0" w:color="auto"/>
      </w:divBdr>
    </w:div>
    <w:div w:id="1438989498">
      <w:bodyDiv w:val="1"/>
      <w:marLeft w:val="0"/>
      <w:marRight w:val="0"/>
      <w:marTop w:val="0"/>
      <w:marBottom w:val="0"/>
      <w:divBdr>
        <w:top w:val="none" w:sz="0" w:space="0" w:color="auto"/>
        <w:left w:val="none" w:sz="0" w:space="0" w:color="auto"/>
        <w:bottom w:val="none" w:sz="0" w:space="0" w:color="auto"/>
        <w:right w:val="none" w:sz="0" w:space="0" w:color="auto"/>
      </w:divBdr>
    </w:div>
    <w:div w:id="1507793840">
      <w:bodyDiv w:val="1"/>
      <w:marLeft w:val="0"/>
      <w:marRight w:val="0"/>
      <w:marTop w:val="0"/>
      <w:marBottom w:val="0"/>
      <w:divBdr>
        <w:top w:val="none" w:sz="0" w:space="0" w:color="auto"/>
        <w:left w:val="none" w:sz="0" w:space="0" w:color="auto"/>
        <w:bottom w:val="none" w:sz="0" w:space="0" w:color="auto"/>
        <w:right w:val="none" w:sz="0" w:space="0" w:color="auto"/>
      </w:divBdr>
    </w:div>
    <w:div w:id="1660841426">
      <w:bodyDiv w:val="1"/>
      <w:marLeft w:val="0"/>
      <w:marRight w:val="0"/>
      <w:marTop w:val="0"/>
      <w:marBottom w:val="0"/>
      <w:divBdr>
        <w:top w:val="none" w:sz="0" w:space="0" w:color="auto"/>
        <w:left w:val="none" w:sz="0" w:space="0" w:color="auto"/>
        <w:bottom w:val="none" w:sz="0" w:space="0" w:color="auto"/>
        <w:right w:val="none" w:sz="0" w:space="0" w:color="auto"/>
      </w:divBdr>
    </w:div>
    <w:div w:id="1733692161">
      <w:bodyDiv w:val="1"/>
      <w:marLeft w:val="0"/>
      <w:marRight w:val="0"/>
      <w:marTop w:val="0"/>
      <w:marBottom w:val="0"/>
      <w:divBdr>
        <w:top w:val="none" w:sz="0" w:space="0" w:color="auto"/>
        <w:left w:val="none" w:sz="0" w:space="0" w:color="auto"/>
        <w:bottom w:val="none" w:sz="0" w:space="0" w:color="auto"/>
        <w:right w:val="none" w:sz="0" w:space="0" w:color="auto"/>
      </w:divBdr>
    </w:div>
    <w:div w:id="1813475358">
      <w:bodyDiv w:val="1"/>
      <w:marLeft w:val="0"/>
      <w:marRight w:val="0"/>
      <w:marTop w:val="0"/>
      <w:marBottom w:val="0"/>
      <w:divBdr>
        <w:top w:val="none" w:sz="0" w:space="0" w:color="auto"/>
        <w:left w:val="none" w:sz="0" w:space="0" w:color="auto"/>
        <w:bottom w:val="none" w:sz="0" w:space="0" w:color="auto"/>
        <w:right w:val="none" w:sz="0" w:space="0" w:color="auto"/>
      </w:divBdr>
    </w:div>
    <w:div w:id="1835292165">
      <w:bodyDiv w:val="1"/>
      <w:marLeft w:val="0"/>
      <w:marRight w:val="0"/>
      <w:marTop w:val="0"/>
      <w:marBottom w:val="0"/>
      <w:divBdr>
        <w:top w:val="none" w:sz="0" w:space="0" w:color="auto"/>
        <w:left w:val="none" w:sz="0" w:space="0" w:color="auto"/>
        <w:bottom w:val="none" w:sz="0" w:space="0" w:color="auto"/>
        <w:right w:val="none" w:sz="0" w:space="0" w:color="auto"/>
      </w:divBdr>
    </w:div>
    <w:div w:id="1885555109">
      <w:bodyDiv w:val="1"/>
      <w:marLeft w:val="0"/>
      <w:marRight w:val="0"/>
      <w:marTop w:val="0"/>
      <w:marBottom w:val="0"/>
      <w:divBdr>
        <w:top w:val="none" w:sz="0" w:space="0" w:color="auto"/>
        <w:left w:val="none" w:sz="0" w:space="0" w:color="auto"/>
        <w:bottom w:val="none" w:sz="0" w:space="0" w:color="auto"/>
        <w:right w:val="none" w:sz="0" w:space="0" w:color="auto"/>
      </w:divBdr>
    </w:div>
    <w:div w:id="21373322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0+na2EzKJGTXtyBiP4O1QIuvwQ==">CgMxLjA4AHIhMVltSXRFbzFJV1VMdWoyZTdkNmJfUEpkVzVYa2Vsd1Q4</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5734CA0-3A19-4FB5-8DFD-662C189CC9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868</TotalTime>
  <Pages>3</Pages>
  <Words>872</Words>
  <Characters>4800</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Moira Gutierrez Valdes</dc:creator>
  <cp:lastModifiedBy>Camila Heymann</cp:lastModifiedBy>
  <cp:revision>82</cp:revision>
  <dcterms:created xsi:type="dcterms:W3CDTF">2024-01-08T14:05:00Z</dcterms:created>
  <dcterms:modified xsi:type="dcterms:W3CDTF">2026-05-14T17:53:00Z</dcterms:modified>
</cp:coreProperties>
</file>