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837EB6" w14:textId="77777777" w:rsidR="00187ECC" w:rsidRPr="00187ECC" w:rsidRDefault="00187ECC" w:rsidP="002B0BCD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480" w:lineRule="auto"/>
        <w:ind w:left="1080"/>
        <w:jc w:val="center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187ECC">
        <w:rPr>
          <w:rFonts w:ascii="Arial" w:eastAsia="Times New Roman" w:hAnsi="Arial" w:cs="Arial"/>
          <w:b/>
          <w:color w:val="000000"/>
          <w:sz w:val="24"/>
          <w:szCs w:val="24"/>
        </w:rPr>
        <w:t>Observatorio Jurisprudencial</w:t>
      </w:r>
    </w:p>
    <w:p w14:paraId="47F10119" w14:textId="30E70B8F" w:rsidR="00DF28B0" w:rsidRPr="00EF08A9" w:rsidRDefault="00187ECC" w:rsidP="00187ECC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EF08A9">
        <w:rPr>
          <w:rFonts w:ascii="Arial" w:eastAsia="Times New Roman" w:hAnsi="Arial" w:cs="Arial"/>
          <w:color w:val="000000"/>
          <w:sz w:val="24"/>
          <w:szCs w:val="24"/>
        </w:rPr>
        <w:t>Programa Persona, Familias y Derecho</w:t>
      </w:r>
    </w:p>
    <w:p w14:paraId="2AB334A8" w14:textId="1199E81A" w:rsidR="002B0BCD" w:rsidRDefault="002B0BCD" w:rsidP="00187ECC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val="es-ES_tradnl"/>
        </w:rPr>
      </w:pPr>
    </w:p>
    <w:tbl>
      <w:tblPr>
        <w:tblStyle w:val="Tablaconcuadrcula1"/>
        <w:tblpPr w:leftFromText="141" w:rightFromText="141" w:vertAnchor="text" w:horzAnchor="margin" w:tblpXSpec="center" w:tblpY="-54"/>
        <w:tblW w:w="8828" w:type="dxa"/>
        <w:tblLook w:val="04A0" w:firstRow="1" w:lastRow="0" w:firstColumn="1" w:lastColumn="0" w:noHBand="0" w:noVBand="1"/>
      </w:tblPr>
      <w:tblGrid>
        <w:gridCol w:w="4414"/>
        <w:gridCol w:w="4414"/>
      </w:tblGrid>
      <w:tr w:rsidR="00950D42" w:rsidRPr="002B0BCD" w14:paraId="3838E09C" w14:textId="77777777" w:rsidTr="00854F1D">
        <w:tc>
          <w:tcPr>
            <w:tcW w:w="4414" w:type="dxa"/>
          </w:tcPr>
          <w:p w14:paraId="73C40EBF" w14:textId="77777777" w:rsidR="00950D42" w:rsidRPr="002B0BCD" w:rsidRDefault="00950D42" w:rsidP="00950D42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lang w:val="es-ES_tradnl"/>
              </w:rPr>
            </w:pPr>
            <w:r w:rsidRPr="002B0BCD">
              <w:rPr>
                <w:rFonts w:ascii="Arial" w:hAnsi="Arial" w:cs="Arial"/>
                <w:b/>
                <w:bCs/>
                <w:sz w:val="24"/>
                <w:lang w:val="es-ES_tradnl"/>
              </w:rPr>
              <w:t>Tribunal</w:t>
            </w:r>
          </w:p>
        </w:tc>
        <w:tc>
          <w:tcPr>
            <w:tcW w:w="4414" w:type="dxa"/>
          </w:tcPr>
          <w:p w14:paraId="1E3A6590" w14:textId="2A5D45FE" w:rsidR="00950D42" w:rsidRDefault="00950D42" w:rsidP="00950D42">
            <w:pPr>
              <w:spacing w:line="276" w:lineRule="auto"/>
              <w:jc w:val="both"/>
              <w:rPr>
                <w:rFonts w:ascii="Arial" w:hAnsi="Arial" w:cs="Arial"/>
                <w:sz w:val="24"/>
                <w:lang w:val="es-ES_tradnl"/>
              </w:rPr>
            </w:pPr>
            <w:r>
              <w:rPr>
                <w:rFonts w:ascii="Arial" w:hAnsi="Arial" w:cs="Arial"/>
                <w:sz w:val="24"/>
                <w:lang w:val="es-ES_tradnl"/>
              </w:rPr>
              <w:t>Corte de Apelaciones de Santiago</w:t>
            </w:r>
          </w:p>
        </w:tc>
      </w:tr>
      <w:tr w:rsidR="00950D42" w:rsidRPr="002B0BCD" w14:paraId="1E55DBD8" w14:textId="77777777" w:rsidTr="00854F1D">
        <w:tc>
          <w:tcPr>
            <w:tcW w:w="4414" w:type="dxa"/>
          </w:tcPr>
          <w:p w14:paraId="790D8959" w14:textId="5EC86B72" w:rsidR="00950D42" w:rsidRPr="002B0BCD" w:rsidRDefault="00950D42" w:rsidP="00950D42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lang w:val="es-ES_tradnl"/>
              </w:rPr>
            </w:pPr>
            <w:r w:rsidRPr="002B0BCD">
              <w:rPr>
                <w:rFonts w:ascii="Arial" w:hAnsi="Arial" w:cs="Arial"/>
                <w:b/>
                <w:bCs/>
                <w:sz w:val="24"/>
                <w:lang w:val="es-ES_tradnl"/>
              </w:rPr>
              <w:t>Rol</w:t>
            </w:r>
            <w:r>
              <w:rPr>
                <w:rFonts w:ascii="Arial" w:hAnsi="Arial" w:cs="Arial"/>
                <w:b/>
                <w:bCs/>
                <w:sz w:val="24"/>
                <w:lang w:val="es-ES_tradnl"/>
              </w:rPr>
              <w:t>/RIT</w:t>
            </w:r>
          </w:p>
        </w:tc>
        <w:tc>
          <w:tcPr>
            <w:tcW w:w="4414" w:type="dxa"/>
          </w:tcPr>
          <w:p w14:paraId="405C9183" w14:textId="5752DF8A" w:rsidR="00950D42" w:rsidRDefault="00950D42" w:rsidP="00950D42">
            <w:pPr>
              <w:spacing w:line="276" w:lineRule="auto"/>
              <w:jc w:val="both"/>
              <w:rPr>
                <w:rFonts w:ascii="Arial" w:hAnsi="Arial" w:cs="Arial"/>
                <w:sz w:val="24"/>
                <w:lang w:val="es-MX"/>
              </w:rPr>
            </w:pPr>
            <w:r>
              <w:rPr>
                <w:rFonts w:ascii="Arial" w:hAnsi="Arial" w:cs="Arial"/>
                <w:sz w:val="24"/>
                <w:lang w:val="es-MX"/>
              </w:rPr>
              <w:t>3773-2023</w:t>
            </w:r>
          </w:p>
        </w:tc>
      </w:tr>
      <w:tr w:rsidR="00950D42" w:rsidRPr="002B0BCD" w14:paraId="7448AAE8" w14:textId="77777777" w:rsidTr="00854F1D">
        <w:tc>
          <w:tcPr>
            <w:tcW w:w="4414" w:type="dxa"/>
          </w:tcPr>
          <w:p w14:paraId="5EDFB998" w14:textId="54851AEF" w:rsidR="00950D42" w:rsidRPr="002B0BCD" w:rsidRDefault="00854F1D" w:rsidP="00854F1D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lang w:val="es-ES_tradnl"/>
              </w:rPr>
            </w:pPr>
            <w:r>
              <w:rPr>
                <w:rFonts w:ascii="Arial" w:hAnsi="Arial" w:cs="Arial"/>
                <w:b/>
                <w:bCs/>
                <w:sz w:val="24"/>
                <w:lang w:val="es-ES_tradnl"/>
              </w:rPr>
              <w:t>Fecha de la sentencia</w:t>
            </w:r>
          </w:p>
        </w:tc>
        <w:tc>
          <w:tcPr>
            <w:tcW w:w="4414" w:type="dxa"/>
          </w:tcPr>
          <w:p w14:paraId="5711F3B1" w14:textId="215688CD" w:rsidR="00950D42" w:rsidRDefault="00950D42" w:rsidP="00950D42">
            <w:pPr>
              <w:spacing w:line="276" w:lineRule="auto"/>
              <w:jc w:val="both"/>
              <w:rPr>
                <w:rFonts w:ascii="Arial" w:hAnsi="Arial" w:cs="Arial"/>
                <w:sz w:val="24"/>
                <w:lang w:val="es-ES_tradnl"/>
              </w:rPr>
            </w:pPr>
            <w:r>
              <w:rPr>
                <w:rFonts w:ascii="Arial" w:hAnsi="Arial" w:cs="Arial"/>
                <w:sz w:val="24"/>
                <w:lang w:val="es-ES_tradnl"/>
              </w:rPr>
              <w:t>15 de enero de 2024</w:t>
            </w:r>
          </w:p>
        </w:tc>
      </w:tr>
      <w:tr w:rsidR="00950D42" w:rsidRPr="002B0BCD" w14:paraId="4E808922" w14:textId="77777777" w:rsidTr="00854F1D">
        <w:tc>
          <w:tcPr>
            <w:tcW w:w="4414" w:type="dxa"/>
          </w:tcPr>
          <w:p w14:paraId="22D1830A" w14:textId="02921179" w:rsidR="00950D42" w:rsidRPr="002B0BCD" w:rsidRDefault="00950D42" w:rsidP="00950D42">
            <w:pPr>
              <w:tabs>
                <w:tab w:val="center" w:pos="2099"/>
              </w:tabs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lang w:val="es-ES_tradnl"/>
              </w:rPr>
            </w:pPr>
            <w:r w:rsidRPr="002B0BCD">
              <w:rPr>
                <w:rFonts w:ascii="Arial" w:hAnsi="Arial" w:cs="Arial"/>
                <w:b/>
                <w:bCs/>
                <w:sz w:val="24"/>
                <w:lang w:val="es-ES_tradnl"/>
              </w:rPr>
              <w:t>Recurso</w:t>
            </w:r>
            <w:r>
              <w:rPr>
                <w:rFonts w:ascii="Arial" w:hAnsi="Arial" w:cs="Arial"/>
                <w:b/>
                <w:bCs/>
                <w:sz w:val="24"/>
                <w:lang w:val="es-ES_tradnl"/>
              </w:rPr>
              <w:t>/Materia</w:t>
            </w:r>
            <w:r>
              <w:rPr>
                <w:rFonts w:ascii="Arial" w:hAnsi="Arial" w:cs="Arial"/>
                <w:b/>
                <w:bCs/>
                <w:sz w:val="24"/>
                <w:lang w:val="es-ES_tradnl"/>
              </w:rPr>
              <w:tab/>
            </w:r>
          </w:p>
        </w:tc>
        <w:tc>
          <w:tcPr>
            <w:tcW w:w="4414" w:type="dxa"/>
          </w:tcPr>
          <w:p w14:paraId="3D49A8CA" w14:textId="0FCAE7E2" w:rsidR="00950D42" w:rsidRPr="00187ECC" w:rsidRDefault="00950D42" w:rsidP="00950D42">
            <w:pPr>
              <w:spacing w:line="276" w:lineRule="auto"/>
              <w:jc w:val="both"/>
              <w:rPr>
                <w:rFonts w:ascii="Arial" w:eastAsia="Times New Roman" w:hAnsi="Arial" w:cs="Arial"/>
                <w:sz w:val="24"/>
              </w:rPr>
            </w:pPr>
            <w:r>
              <w:rPr>
                <w:rFonts w:ascii="Arial" w:eastAsia="Times New Roman" w:hAnsi="Arial" w:cs="Arial"/>
                <w:sz w:val="24"/>
              </w:rPr>
              <w:t>Apelación/ Medida de protección por vulneración de derechos NNA</w:t>
            </w:r>
          </w:p>
        </w:tc>
      </w:tr>
      <w:tr w:rsidR="00950D42" w:rsidRPr="002B0BCD" w14:paraId="60A15779" w14:textId="77777777" w:rsidTr="00854F1D">
        <w:tc>
          <w:tcPr>
            <w:tcW w:w="4414" w:type="dxa"/>
          </w:tcPr>
          <w:p w14:paraId="3419BC96" w14:textId="77777777" w:rsidR="00950D42" w:rsidRPr="002B0BCD" w:rsidRDefault="00950D42" w:rsidP="00950D42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lang w:val="es-ES_tradnl"/>
              </w:rPr>
            </w:pPr>
            <w:r w:rsidRPr="002B0BCD">
              <w:rPr>
                <w:rFonts w:ascii="Arial" w:hAnsi="Arial" w:cs="Arial"/>
                <w:b/>
                <w:bCs/>
                <w:sz w:val="24"/>
                <w:lang w:val="es-ES_tradnl"/>
              </w:rPr>
              <w:t>Resultado</w:t>
            </w:r>
          </w:p>
        </w:tc>
        <w:tc>
          <w:tcPr>
            <w:tcW w:w="4414" w:type="dxa"/>
          </w:tcPr>
          <w:p w14:paraId="39AF1670" w14:textId="762E808C" w:rsidR="00950D42" w:rsidRPr="002B0BCD" w:rsidRDefault="00950D42" w:rsidP="00950D42">
            <w:pPr>
              <w:spacing w:line="276" w:lineRule="auto"/>
              <w:jc w:val="both"/>
              <w:rPr>
                <w:rFonts w:ascii="Arial" w:hAnsi="Arial" w:cs="Arial"/>
                <w:sz w:val="24"/>
                <w:lang w:val="es-ES_tradnl"/>
              </w:rPr>
            </w:pPr>
            <w:r>
              <w:rPr>
                <w:rFonts w:ascii="Arial" w:hAnsi="Arial" w:cs="Arial"/>
                <w:sz w:val="24"/>
                <w:lang w:val="es-ES_tradnl"/>
              </w:rPr>
              <w:t>Anula de oficio</w:t>
            </w:r>
          </w:p>
        </w:tc>
      </w:tr>
      <w:tr w:rsidR="00950D42" w:rsidRPr="002B0BCD" w14:paraId="4CC35AA2" w14:textId="77777777" w:rsidTr="00854F1D">
        <w:tc>
          <w:tcPr>
            <w:tcW w:w="4414" w:type="dxa"/>
          </w:tcPr>
          <w:p w14:paraId="28A5A628" w14:textId="77777777" w:rsidR="00950D42" w:rsidRPr="002B0BCD" w:rsidRDefault="00950D42" w:rsidP="00950D42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4"/>
                <w:lang w:val="es-ES_tradnl"/>
              </w:rPr>
            </w:pPr>
            <w:r w:rsidRPr="002B0BCD">
              <w:rPr>
                <w:rFonts w:ascii="Arial" w:hAnsi="Arial" w:cs="Arial"/>
                <w:b/>
                <w:bCs/>
                <w:sz w:val="24"/>
                <w:lang w:val="es-ES_tradnl"/>
              </w:rPr>
              <w:t>Caratulado</w:t>
            </w:r>
          </w:p>
        </w:tc>
        <w:tc>
          <w:tcPr>
            <w:tcW w:w="4414" w:type="dxa"/>
          </w:tcPr>
          <w:p w14:paraId="522B9246" w14:textId="71066495" w:rsidR="00950D42" w:rsidRDefault="00950D42" w:rsidP="00950D42">
            <w:pPr>
              <w:spacing w:line="276" w:lineRule="auto"/>
              <w:jc w:val="both"/>
              <w:rPr>
                <w:rFonts w:ascii="Arial" w:hAnsi="Arial" w:cs="Arial"/>
                <w:sz w:val="24"/>
                <w:lang w:val="es-ES_tradnl"/>
              </w:rPr>
            </w:pPr>
            <w:r>
              <w:rPr>
                <w:rFonts w:ascii="Arial" w:hAnsi="Arial" w:cs="Arial"/>
                <w:sz w:val="24"/>
                <w:lang w:val="es-ES_tradnl"/>
              </w:rPr>
              <w:t>Anonimizado</w:t>
            </w:r>
          </w:p>
        </w:tc>
      </w:tr>
    </w:tbl>
    <w:p w14:paraId="5869EE8F" w14:textId="198FA07E" w:rsidR="002B0BCD" w:rsidRDefault="002B0BCD" w:rsidP="00187ECC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val="es-ES_tradnl"/>
        </w:rPr>
      </w:pPr>
    </w:p>
    <w:p w14:paraId="157456B2" w14:textId="77777777" w:rsidR="00DF28B0" w:rsidRPr="00187ECC" w:rsidRDefault="00521D3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187ECC">
        <w:rPr>
          <w:rFonts w:ascii="Arial" w:eastAsia="Times New Roman" w:hAnsi="Arial" w:cs="Arial"/>
          <w:b/>
          <w:color w:val="000000"/>
          <w:sz w:val="24"/>
          <w:szCs w:val="24"/>
        </w:rPr>
        <w:t>RESUMEN</w:t>
      </w:r>
    </w:p>
    <w:p w14:paraId="3DC1E2FF" w14:textId="77777777" w:rsidR="002E146A" w:rsidRPr="002E146A" w:rsidRDefault="002E146A" w:rsidP="002E146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>Derechos vulnerados: Derecho de NNA a ser oído, derecho a obtener una decisión emanada de un procedimiento que ha de tenerse por racional y legalmente sustanciado.</w:t>
      </w:r>
    </w:p>
    <w:p w14:paraId="522E2B13" w14:textId="06A3D4F8" w:rsidR="002E146A" w:rsidRPr="002E146A" w:rsidRDefault="002E146A" w:rsidP="002E146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La sentencia anula </w:t>
      </w:r>
      <w:r w:rsidR="00066CE5">
        <w:rPr>
          <w:rFonts w:ascii="Arial" w:eastAsia="Times New Roman" w:hAnsi="Arial" w:cs="Arial"/>
          <w:bCs/>
          <w:color w:val="000000"/>
          <w:sz w:val="24"/>
          <w:szCs w:val="24"/>
        </w:rPr>
        <w:t>de oficio dos resoluciones del t</w:t>
      </w: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ribunal de origen (causa proteccional en favor de adolescente, en que se ordena su ingreso a un centro residencial por posibles vulneraciones de sus derechos). Dichas resoluciones son anuladas por vulnerar el debido proceso, el derecho de las partes a obtener una decisión emanada de un procedimiento racional y legalmente sustanciado y vulnerar el derecho de la adolescente a ser oída. La primera resolución del </w:t>
      </w:r>
      <w:r w:rsidR="00066CE5">
        <w:rPr>
          <w:rFonts w:ascii="Arial" w:eastAsia="Times New Roman" w:hAnsi="Arial" w:cs="Arial"/>
          <w:bCs/>
          <w:color w:val="000000"/>
          <w:sz w:val="24"/>
          <w:szCs w:val="24"/>
        </w:rPr>
        <w:t>t</w:t>
      </w: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ribunal de origen disponía el </w:t>
      </w:r>
      <w:r w:rsidR="00066CE5">
        <w:rPr>
          <w:rFonts w:ascii="Arial" w:eastAsia="Times New Roman" w:hAnsi="Arial" w:cs="Arial"/>
          <w:bCs/>
          <w:color w:val="000000"/>
          <w:sz w:val="24"/>
          <w:szCs w:val="24"/>
        </w:rPr>
        <w:t>egreso de la adolescente de la r</w:t>
      </w: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>esidencia y restituyó el cuidado proteccional provisorio a la progenitora, d</w:t>
      </w:r>
      <w:r w:rsidR="00066CE5">
        <w:rPr>
          <w:rFonts w:ascii="Arial" w:eastAsia="Times New Roman" w:hAnsi="Arial" w:cs="Arial"/>
          <w:bCs/>
          <w:color w:val="000000"/>
          <w:sz w:val="24"/>
          <w:szCs w:val="24"/>
        </w:rPr>
        <w:t>eclarando la incompetencia del t</w:t>
      </w: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>ribunal; lo anterior, con la sola opinión del consejero técnico que se entrevistó con la madre de la adolescente, sin citar a todas las partes y sin escuchar a la adolescente. La segunda resolución anulada, ordenó el egreso de la adolescente del programa PRM.</w:t>
      </w:r>
    </w:p>
    <w:p w14:paraId="048E93DA" w14:textId="50375AF5" w:rsidR="00950D42" w:rsidRPr="002E146A" w:rsidRDefault="002E146A" w:rsidP="002E146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  <w:r w:rsidRPr="002E146A">
        <w:rPr>
          <w:rFonts w:ascii="Arial" w:eastAsia="Times New Roman" w:hAnsi="Arial" w:cs="Arial"/>
          <w:bCs/>
          <w:color w:val="000000"/>
          <w:sz w:val="24"/>
          <w:szCs w:val="24"/>
        </w:rPr>
        <w:t>La curadora ad litem apela a dichas resoluciones y la Corte, en virtud del mandato establecido en el artículo 84 del Código de Procedimiento Civil, anula de oficio las decisiones del Tribunal por vulnerar el derecho de la adolescente y de los demás intervinientes en el proceso, ordenando que se realice una audiencia con todos los intervinientes.</w:t>
      </w:r>
    </w:p>
    <w:p w14:paraId="7C3B8F80" w14:textId="3B77F8BF" w:rsidR="00DF28B0" w:rsidRPr="00187ECC" w:rsidRDefault="00521D3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187ECC">
        <w:rPr>
          <w:rFonts w:ascii="Arial" w:eastAsia="Times New Roman" w:hAnsi="Arial" w:cs="Arial"/>
          <w:b/>
          <w:color w:val="000000"/>
          <w:sz w:val="24"/>
          <w:szCs w:val="24"/>
        </w:rPr>
        <w:t>HECHOS</w:t>
      </w:r>
    </w:p>
    <w:p w14:paraId="7C227D05" w14:textId="77777777" w:rsidR="003E3ADE" w:rsidRPr="003E3ADE" w:rsidRDefault="003E3ADE" w:rsidP="003E3ADE">
      <w:pPr>
        <w:spacing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E3ADE">
        <w:rPr>
          <w:rFonts w:ascii="Arial" w:eastAsia="Times New Roman" w:hAnsi="Arial" w:cs="Arial"/>
          <w:sz w:val="24"/>
          <w:szCs w:val="24"/>
        </w:rPr>
        <w:lastRenderedPageBreak/>
        <w:t>En causa proteccional en favor de adolescente, en que se ordena su ingreso a un centro residencial e intervención de un centro especializado de reparación, por posibles agresiones de las que estaría siendo víctima por parte del abuelo materno con quien residía junto a su madre.</w:t>
      </w:r>
    </w:p>
    <w:p w14:paraId="2873C761" w14:textId="15440AD6" w:rsidR="003E3ADE" w:rsidRPr="003E3ADE" w:rsidRDefault="003E3ADE" w:rsidP="003E3ADE">
      <w:pPr>
        <w:spacing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E3ADE">
        <w:rPr>
          <w:rFonts w:ascii="Arial" w:eastAsia="Times New Roman" w:hAnsi="Arial" w:cs="Arial"/>
          <w:sz w:val="24"/>
          <w:szCs w:val="24"/>
        </w:rPr>
        <w:t>La Corte, procediendo de oficio, anula y deja sin efecto dos resoluciones del Tribunal de origen, en las que, con la sola opinión del consejero técnico que se entrevistó con la madre de la adolescente, sin citar a todas las partes y sin escuchar a la adolescente, se dispuso el egreso de la Residencia, se restituyó el cuidado proteccional provisorio en la madre, se declaró la incompetencia del Tribunal y se ordenó el egreso de la adolescente del programa PRM; ordenando, además, la realización de una audiencia en que comparezcan todos los intervinientes para discutir la situación de la adolescente.</w:t>
      </w:r>
    </w:p>
    <w:p w14:paraId="0C99666C" w14:textId="7CB48CE1" w:rsidR="00207B39" w:rsidRDefault="003E3ADE" w:rsidP="003E3ADE">
      <w:pPr>
        <w:spacing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E3ADE">
        <w:rPr>
          <w:rFonts w:ascii="Arial" w:eastAsia="Times New Roman" w:hAnsi="Arial" w:cs="Arial"/>
          <w:sz w:val="24"/>
          <w:szCs w:val="24"/>
        </w:rPr>
        <w:t>Lo anterior, debido a que dichas resoluciones vulneraron el debido proceso, el derecho de las partes a obtener una decisión emanada de un procedimiento racional y legalmente sustanciado y vulnerar el derecho de la adolescente a ser oída.</w:t>
      </w:r>
    </w:p>
    <w:p w14:paraId="05984C19" w14:textId="687565F0" w:rsidR="00DF28B0" w:rsidRDefault="00521D3C" w:rsidP="00110D8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187ECC">
        <w:rPr>
          <w:rFonts w:ascii="Arial" w:eastAsia="Times New Roman" w:hAnsi="Arial" w:cs="Arial"/>
          <w:b/>
          <w:color w:val="000000"/>
          <w:sz w:val="24"/>
          <w:szCs w:val="24"/>
        </w:rPr>
        <w:t>DERECHO</w:t>
      </w:r>
    </w:p>
    <w:p w14:paraId="4D5C4D43" w14:textId="6E509EC8" w:rsidR="00C71E2A" w:rsidRPr="00C71E2A" w:rsidRDefault="00C71E2A" w:rsidP="00C71E2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  <w:r w:rsidRPr="00C71E2A">
        <w:rPr>
          <w:rFonts w:ascii="Arial" w:eastAsia="Times New Roman" w:hAnsi="Arial" w:cs="Arial"/>
          <w:bCs/>
          <w:color w:val="000000"/>
          <w:sz w:val="24"/>
          <w:szCs w:val="24"/>
        </w:rPr>
        <w:t>El interés superior de los NNA es, conforme lo ha señalado el Comité de Derechos del Niño (Observación General N° 14, párrafo 85) “es en sí mismo una norma de</w:t>
      </w:r>
      <w:r w:rsidR="00066CE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procedimiento”; por lo que el t</w:t>
      </w:r>
      <w:bookmarkStart w:id="0" w:name="_GoBack"/>
      <w:bookmarkEnd w:id="0"/>
      <w:r w:rsidRPr="00C71E2A">
        <w:rPr>
          <w:rFonts w:ascii="Arial" w:eastAsia="Times New Roman" w:hAnsi="Arial" w:cs="Arial"/>
          <w:bCs/>
          <w:color w:val="000000"/>
          <w:sz w:val="24"/>
          <w:szCs w:val="24"/>
        </w:rPr>
        <w:t>ribunal debe citar a audiencia, con la comparecencia de todos los intervinientes del proceso proteccional y que están compelidos a resguardar los derechos de los NNA; es decir, los órganos técnicos que hayan participado del proceso, los progenitores, el curador ad litem, quien defiende los derechos del NNA y, especialmente, al NNA.</w:t>
      </w:r>
    </w:p>
    <w:p w14:paraId="4B07D91A" w14:textId="690CF30E" w:rsidR="00DC42B4" w:rsidRPr="00C71E2A" w:rsidRDefault="00C71E2A" w:rsidP="00C71E2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  <w:r w:rsidRPr="00C71E2A">
        <w:rPr>
          <w:rFonts w:ascii="Arial" w:eastAsia="Times New Roman" w:hAnsi="Arial" w:cs="Arial"/>
          <w:bCs/>
          <w:color w:val="000000"/>
          <w:sz w:val="24"/>
          <w:szCs w:val="24"/>
        </w:rPr>
        <w:t>El artículo 84 del Código de Procedimiento Civil, aplicable supletoriamente en la especie por remisión del artículo 27 de la Ley N°19.968, establece el mandato a los jueces de “corregir de oficio los errores que observe en la tramitación del proceso”; obligación que debe atenderse especialmente cuando las deficiencias detectadas importan un impedimento ilegal para el ejercicio de derechos por parte de alguno de los litigantes.</w:t>
      </w:r>
    </w:p>
    <w:sectPr w:rsidR="00DC42B4" w:rsidRPr="00C71E2A" w:rsidSect="0006046F">
      <w:headerReference w:type="default" r:id="rId9"/>
      <w:footerReference w:type="even" r:id="rId10"/>
      <w:footerReference w:type="default" r:id="rId11"/>
      <w:pgSz w:w="12240" w:h="15840"/>
      <w:pgMar w:top="1418" w:right="1418" w:bottom="1418" w:left="1418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A3A98F" w14:textId="77777777" w:rsidR="00567580" w:rsidRDefault="00567580" w:rsidP="00685413">
      <w:pPr>
        <w:spacing w:after="0" w:line="240" w:lineRule="auto"/>
      </w:pPr>
      <w:r>
        <w:separator/>
      </w:r>
    </w:p>
  </w:endnote>
  <w:endnote w:type="continuationSeparator" w:id="0">
    <w:p w14:paraId="5D626A97" w14:textId="77777777" w:rsidR="00567580" w:rsidRDefault="00567580" w:rsidP="00685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merodepgina"/>
      </w:rPr>
      <w:id w:val="-68714732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6068538F" w14:textId="34ABE6C6" w:rsidR="00207B39" w:rsidRDefault="00207B39" w:rsidP="009379E6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1CB17F2B" w14:textId="77777777" w:rsidR="00207B39" w:rsidRDefault="00207B39" w:rsidP="002B0BCD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merodepgina"/>
      </w:rPr>
      <w:id w:val="-543059073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40A6145D" w14:textId="56F110FB" w:rsidR="00207B39" w:rsidRDefault="00207B39" w:rsidP="009379E6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066CE5">
          <w:rPr>
            <w:rStyle w:val="Nmerodepgina"/>
            <w:noProof/>
          </w:rPr>
          <w:t>2</w:t>
        </w:r>
        <w:r>
          <w:rPr>
            <w:rStyle w:val="Nmerodepgina"/>
          </w:rPr>
          <w:fldChar w:fldCharType="end"/>
        </w:r>
      </w:p>
    </w:sdtContent>
  </w:sdt>
  <w:p w14:paraId="0732BDC0" w14:textId="77777777" w:rsidR="00207B39" w:rsidRDefault="00207B39" w:rsidP="002B0BCD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C016F7" w14:textId="77777777" w:rsidR="00567580" w:rsidRDefault="00567580" w:rsidP="00685413">
      <w:pPr>
        <w:spacing w:after="0" w:line="240" w:lineRule="auto"/>
      </w:pPr>
      <w:r>
        <w:separator/>
      </w:r>
    </w:p>
  </w:footnote>
  <w:footnote w:type="continuationSeparator" w:id="0">
    <w:p w14:paraId="02395275" w14:textId="77777777" w:rsidR="00567580" w:rsidRDefault="00567580" w:rsidP="006854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C4DA2E" w14:textId="7B0915AC" w:rsidR="00685413" w:rsidRDefault="00985681">
    <w:pPr>
      <w:pStyle w:val="Encabezado"/>
      <w:rPr>
        <w:rFonts w:ascii="Times New Roman" w:hAnsi="Times New Roman" w:cs="Times New Roman"/>
        <w:i/>
        <w:iCs/>
        <w:sz w:val="20"/>
        <w:szCs w:val="20"/>
      </w:rPr>
    </w:pPr>
    <w:r>
      <w:rPr>
        <w:rFonts w:ascii="Times New Roman" w:hAnsi="Times New Roman" w:cs="Times New Roman"/>
        <w:i/>
        <w:iCs/>
        <w:sz w:val="20"/>
        <w:szCs w:val="20"/>
      </w:rPr>
      <w:tab/>
    </w:r>
    <w:r w:rsidR="008A0E5E">
      <w:rPr>
        <w:rFonts w:ascii="Times New Roman" w:hAnsi="Times New Roman" w:cs="Times New Roman"/>
        <w:i/>
        <w:iCs/>
        <w:sz w:val="20"/>
        <w:szCs w:val="20"/>
      </w:rPr>
      <w:tab/>
    </w:r>
  </w:p>
  <w:p w14:paraId="52BDF291" w14:textId="7FC220D5" w:rsidR="00A37F1C" w:rsidRDefault="00EF08A9" w:rsidP="00EF08A9">
    <w:pPr>
      <w:pStyle w:val="Encabezado"/>
      <w:jc w:val="right"/>
    </w:pPr>
    <w:r>
      <w:rPr>
        <w:noProof/>
        <w:lang w:val="es-CL"/>
      </w:rPr>
      <w:drawing>
        <wp:inline distT="0" distB="0" distL="0" distR="0" wp14:anchorId="55728B6E" wp14:editId="265BE523">
          <wp:extent cx="993775" cy="1120775"/>
          <wp:effectExtent l="0" t="0" r="0" b="3175"/>
          <wp:docPr id="2" name="image2.png" descr="Imagen que contiene 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.png" descr="Imagen que contiene Texto&#10;&#10;Descripción generada automáticamente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93775" cy="11207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B411028" w14:textId="77777777" w:rsidR="00A37F1C" w:rsidRPr="00985681" w:rsidRDefault="00A37F1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75711"/>
    <w:multiLevelType w:val="multilevel"/>
    <w:tmpl w:val="DDAEDC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031901"/>
    <w:multiLevelType w:val="multilevel"/>
    <w:tmpl w:val="01962EB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927E27"/>
    <w:multiLevelType w:val="hybridMultilevel"/>
    <w:tmpl w:val="724AE208"/>
    <w:lvl w:ilvl="0" w:tplc="4C1416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8B0"/>
    <w:rsid w:val="0006046F"/>
    <w:rsid w:val="00066CE5"/>
    <w:rsid w:val="000D6208"/>
    <w:rsid w:val="00110D81"/>
    <w:rsid w:val="00187ECC"/>
    <w:rsid w:val="00207B39"/>
    <w:rsid w:val="002B0BCD"/>
    <w:rsid w:val="002E146A"/>
    <w:rsid w:val="003E3ADE"/>
    <w:rsid w:val="004563EC"/>
    <w:rsid w:val="00475BC2"/>
    <w:rsid w:val="00521D3C"/>
    <w:rsid w:val="00567580"/>
    <w:rsid w:val="0063260D"/>
    <w:rsid w:val="00685413"/>
    <w:rsid w:val="00830821"/>
    <w:rsid w:val="00834DF0"/>
    <w:rsid w:val="00854F1D"/>
    <w:rsid w:val="008A0E5E"/>
    <w:rsid w:val="009018CA"/>
    <w:rsid w:val="00950D42"/>
    <w:rsid w:val="00985681"/>
    <w:rsid w:val="00A37F1C"/>
    <w:rsid w:val="00B7199C"/>
    <w:rsid w:val="00C71E2A"/>
    <w:rsid w:val="00DC42B4"/>
    <w:rsid w:val="00DF28B0"/>
    <w:rsid w:val="00E96AFC"/>
    <w:rsid w:val="00EF08A9"/>
    <w:rsid w:val="00F41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29CAA8"/>
  <w15:docId w15:val="{67D1E08D-AE24-4F51-8067-C270D660E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C965F1"/>
    <w:pPr>
      <w:ind w:left="720"/>
      <w:contextualSpacing/>
    </w:pPr>
  </w:style>
  <w:style w:type="table" w:styleId="Tablaconcuadrcula">
    <w:name w:val="Table Grid"/>
    <w:basedOn w:val="Tablanormal"/>
    <w:uiPriority w:val="39"/>
    <w:rsid w:val="00C965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68541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5413"/>
  </w:style>
  <w:style w:type="paragraph" w:styleId="Piedepgina">
    <w:name w:val="footer"/>
    <w:basedOn w:val="Normal"/>
    <w:link w:val="PiedepginaCar"/>
    <w:uiPriority w:val="99"/>
    <w:unhideWhenUsed/>
    <w:rsid w:val="0068541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5413"/>
  </w:style>
  <w:style w:type="character" w:styleId="Refdecomentario">
    <w:name w:val="annotation reference"/>
    <w:basedOn w:val="Fuentedeprrafopredeter"/>
    <w:uiPriority w:val="99"/>
    <w:semiHidden/>
    <w:unhideWhenUsed/>
    <w:rsid w:val="00A37F1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37F1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37F1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37F1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37F1C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37F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7F1C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207B39"/>
    <w:pPr>
      <w:spacing w:after="0" w:line="240" w:lineRule="auto"/>
    </w:pPr>
  </w:style>
  <w:style w:type="character" w:styleId="Nmerodepgina">
    <w:name w:val="page number"/>
    <w:basedOn w:val="Fuentedeprrafopredeter"/>
    <w:uiPriority w:val="99"/>
    <w:semiHidden/>
    <w:unhideWhenUsed/>
    <w:rsid w:val="00207B39"/>
  </w:style>
  <w:style w:type="table" w:customStyle="1" w:styleId="Tablaconcuadrcula1">
    <w:name w:val="Tabla con cuadrícula1"/>
    <w:basedOn w:val="Tablanormal"/>
    <w:next w:val="Tablaconcuadrcula"/>
    <w:uiPriority w:val="39"/>
    <w:rsid w:val="002B0BCD"/>
    <w:pPr>
      <w:spacing w:after="0" w:line="240" w:lineRule="auto"/>
    </w:pPr>
    <w:rPr>
      <w:rFonts w:ascii="Times New Roman" w:eastAsiaTheme="minorHAnsi" w:hAnsi="Times New Roman" w:cs="Courier New"/>
      <w:color w:val="000000"/>
      <w:kern w:val="2"/>
      <w:sz w:val="20"/>
      <w:szCs w:val="24"/>
      <w:lang w:val="es-CL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0+na2EzKJGTXtyBiP4O1QIuvwQ==">CgMxLjA4AHIhMVltSXRFbzFJV1VMdWoyZTdkNmJfUEpkVzVYa2Vsd1Q4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074705D-1171-4A74-8737-B78579738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586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Moira Gutierrez Valdes</dc:creator>
  <cp:lastModifiedBy>Valeria Sepúlveda</cp:lastModifiedBy>
  <cp:revision>12</cp:revision>
  <dcterms:created xsi:type="dcterms:W3CDTF">2024-01-08T14:05:00Z</dcterms:created>
  <dcterms:modified xsi:type="dcterms:W3CDTF">2024-01-23T15:18:00Z</dcterms:modified>
</cp:coreProperties>
</file>