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37EB6" w14:textId="77777777" w:rsidR="00187ECC" w:rsidRPr="00187ECC" w:rsidRDefault="00187ECC" w:rsidP="00230A6B">
      <w:pPr>
        <w:pStyle w:val="Prrafodelista"/>
        <w:pBdr>
          <w:top w:val="nil"/>
          <w:left w:val="nil"/>
          <w:bottom w:val="nil"/>
          <w:right w:val="nil"/>
          <w:between w:val="nil"/>
        </w:pBdr>
        <w:spacing w:line="480" w:lineRule="auto"/>
        <w:ind w:left="1080"/>
        <w:jc w:val="center"/>
        <w:rPr>
          <w:rFonts w:ascii="Arial" w:eastAsia="Times New Roman" w:hAnsi="Arial" w:cs="Arial"/>
          <w:b/>
          <w:color w:val="000000"/>
          <w:sz w:val="24"/>
          <w:szCs w:val="24"/>
        </w:rPr>
      </w:pPr>
      <w:r w:rsidRPr="00187ECC">
        <w:rPr>
          <w:rFonts w:ascii="Arial" w:eastAsia="Times New Roman" w:hAnsi="Arial" w:cs="Arial"/>
          <w:b/>
          <w:color w:val="000000"/>
          <w:sz w:val="24"/>
          <w:szCs w:val="24"/>
        </w:rPr>
        <w:t>Observatorio Jurisprudencial</w:t>
      </w:r>
    </w:p>
    <w:p w14:paraId="47F10119" w14:textId="30E70B8F" w:rsidR="00DF28B0" w:rsidRPr="00EF08A9" w:rsidRDefault="00187ECC" w:rsidP="00230A6B">
      <w:pPr>
        <w:pStyle w:val="Prrafodelista"/>
        <w:pBdr>
          <w:top w:val="nil"/>
          <w:left w:val="nil"/>
          <w:bottom w:val="nil"/>
          <w:right w:val="nil"/>
          <w:between w:val="nil"/>
        </w:pBdr>
        <w:spacing w:line="276" w:lineRule="auto"/>
        <w:ind w:left="1080"/>
        <w:jc w:val="center"/>
        <w:rPr>
          <w:rFonts w:ascii="Arial" w:eastAsia="Times New Roman" w:hAnsi="Arial" w:cs="Arial"/>
          <w:color w:val="000000"/>
          <w:sz w:val="24"/>
          <w:szCs w:val="24"/>
        </w:rPr>
      </w:pPr>
      <w:r w:rsidRPr="00EF08A9">
        <w:rPr>
          <w:rFonts w:ascii="Arial" w:eastAsia="Times New Roman" w:hAnsi="Arial" w:cs="Arial"/>
          <w:color w:val="000000"/>
          <w:sz w:val="24"/>
          <w:szCs w:val="24"/>
        </w:rPr>
        <w:t>Programa Persona, Familias y Derecho</w:t>
      </w:r>
    </w:p>
    <w:p w14:paraId="2AB334A8" w14:textId="1199E81A" w:rsidR="002B0BCD" w:rsidRDefault="002B0BCD" w:rsidP="00187ECC">
      <w:pPr>
        <w:pStyle w:val="Prrafodelista"/>
        <w:pBdr>
          <w:top w:val="nil"/>
          <w:left w:val="nil"/>
          <w:bottom w:val="nil"/>
          <w:right w:val="nil"/>
          <w:between w:val="nil"/>
        </w:pBdr>
        <w:spacing w:line="276" w:lineRule="auto"/>
        <w:ind w:left="1080"/>
        <w:jc w:val="center"/>
        <w:rPr>
          <w:rFonts w:ascii="Arial" w:eastAsia="Times New Roman" w:hAnsi="Arial" w:cs="Arial"/>
          <w:b/>
          <w:color w:val="000000"/>
          <w:sz w:val="24"/>
          <w:szCs w:val="24"/>
          <w:lang w:val="es-ES_tradnl"/>
        </w:rPr>
      </w:pPr>
    </w:p>
    <w:tbl>
      <w:tblPr>
        <w:tblStyle w:val="Tablaconcuadrcula1"/>
        <w:tblpPr w:leftFromText="141" w:rightFromText="141" w:vertAnchor="text" w:horzAnchor="margin" w:tblpXSpec="center" w:tblpY="-54"/>
        <w:tblW w:w="0" w:type="auto"/>
        <w:tblLook w:val="04A0" w:firstRow="1" w:lastRow="0" w:firstColumn="1" w:lastColumn="0" w:noHBand="0" w:noVBand="1"/>
      </w:tblPr>
      <w:tblGrid>
        <w:gridCol w:w="4414"/>
        <w:gridCol w:w="4414"/>
      </w:tblGrid>
      <w:tr w:rsidR="002B0BCD" w:rsidRPr="002B0BCD" w14:paraId="3838E09C" w14:textId="77777777" w:rsidTr="00E57E19">
        <w:tc>
          <w:tcPr>
            <w:tcW w:w="4414" w:type="dxa"/>
          </w:tcPr>
          <w:p w14:paraId="73C40EBF" w14:textId="77777777" w:rsidR="002B0BCD" w:rsidRPr="002B0BCD" w:rsidRDefault="002B0BCD" w:rsidP="002B0BCD">
            <w:pPr>
              <w:spacing w:line="276" w:lineRule="auto"/>
              <w:jc w:val="both"/>
              <w:rPr>
                <w:rFonts w:ascii="Arial" w:hAnsi="Arial" w:cs="Arial"/>
                <w:b/>
                <w:bCs/>
                <w:sz w:val="24"/>
                <w:lang w:val="es-ES_tradnl"/>
              </w:rPr>
            </w:pPr>
            <w:r w:rsidRPr="002B0BCD">
              <w:rPr>
                <w:rFonts w:ascii="Arial" w:hAnsi="Arial" w:cs="Arial"/>
                <w:b/>
                <w:bCs/>
                <w:sz w:val="24"/>
                <w:lang w:val="es-ES_tradnl"/>
              </w:rPr>
              <w:t>Tribunal</w:t>
            </w:r>
          </w:p>
        </w:tc>
        <w:tc>
          <w:tcPr>
            <w:tcW w:w="4414" w:type="dxa"/>
          </w:tcPr>
          <w:p w14:paraId="43769B84" w14:textId="3F647B69" w:rsidR="002B0BCD" w:rsidRPr="002B0BCD" w:rsidRDefault="00376694" w:rsidP="002B0BCD">
            <w:pPr>
              <w:spacing w:line="276" w:lineRule="auto"/>
              <w:jc w:val="both"/>
              <w:rPr>
                <w:rFonts w:ascii="Arial" w:hAnsi="Arial" w:cs="Arial"/>
                <w:sz w:val="24"/>
                <w:lang w:val="es-ES_tradnl"/>
              </w:rPr>
            </w:pPr>
            <w:r>
              <w:rPr>
                <w:rFonts w:ascii="Arial" w:hAnsi="Arial" w:cs="Arial"/>
                <w:sz w:val="24"/>
                <w:lang w:val="es-ES_tradnl"/>
              </w:rPr>
              <w:t>Corte Suprema</w:t>
            </w:r>
          </w:p>
        </w:tc>
      </w:tr>
      <w:tr w:rsidR="002B0BCD" w:rsidRPr="002B0BCD" w14:paraId="1E55DBD8" w14:textId="77777777" w:rsidTr="00E57E19">
        <w:tc>
          <w:tcPr>
            <w:tcW w:w="4414" w:type="dxa"/>
          </w:tcPr>
          <w:p w14:paraId="790D8959" w14:textId="5EC86B72" w:rsidR="002B0BCD" w:rsidRPr="002B0BCD" w:rsidRDefault="002B0BCD" w:rsidP="002B0BCD">
            <w:pPr>
              <w:spacing w:line="276" w:lineRule="auto"/>
              <w:jc w:val="both"/>
              <w:rPr>
                <w:rFonts w:ascii="Arial" w:hAnsi="Arial" w:cs="Arial"/>
                <w:b/>
                <w:bCs/>
                <w:sz w:val="24"/>
                <w:lang w:val="es-ES_tradnl"/>
              </w:rPr>
            </w:pPr>
            <w:r w:rsidRPr="002B0BCD">
              <w:rPr>
                <w:rFonts w:ascii="Arial" w:hAnsi="Arial" w:cs="Arial"/>
                <w:b/>
                <w:bCs/>
                <w:sz w:val="24"/>
                <w:lang w:val="es-ES_tradnl"/>
              </w:rPr>
              <w:t>Rol</w:t>
            </w:r>
            <w:r>
              <w:rPr>
                <w:rFonts w:ascii="Arial" w:hAnsi="Arial" w:cs="Arial"/>
                <w:b/>
                <w:bCs/>
                <w:sz w:val="24"/>
                <w:lang w:val="es-ES_tradnl"/>
              </w:rPr>
              <w:t>/</w:t>
            </w:r>
            <w:proofErr w:type="spellStart"/>
            <w:r>
              <w:rPr>
                <w:rFonts w:ascii="Arial" w:hAnsi="Arial" w:cs="Arial"/>
                <w:b/>
                <w:bCs/>
                <w:sz w:val="24"/>
                <w:lang w:val="es-ES_tradnl"/>
              </w:rPr>
              <w:t>RIT</w:t>
            </w:r>
            <w:proofErr w:type="spellEnd"/>
          </w:p>
        </w:tc>
        <w:tc>
          <w:tcPr>
            <w:tcW w:w="4414" w:type="dxa"/>
          </w:tcPr>
          <w:p w14:paraId="175B22E1" w14:textId="4D2122D2" w:rsidR="002B0BCD" w:rsidRPr="00A832EE" w:rsidRDefault="00A832EE" w:rsidP="002B0BCD">
            <w:pPr>
              <w:spacing w:line="276" w:lineRule="auto"/>
              <w:jc w:val="both"/>
              <w:rPr>
                <w:rFonts w:ascii="Arial" w:hAnsi="Arial" w:cs="Arial"/>
                <w:sz w:val="24"/>
                <w:lang w:val="es-ES_tradnl"/>
              </w:rPr>
            </w:pPr>
            <w:r w:rsidRPr="00A832EE">
              <w:rPr>
                <w:rFonts w:ascii="Arial" w:hAnsi="Arial" w:cs="Arial"/>
                <w:sz w:val="24"/>
                <w:lang w:val="es-ES"/>
              </w:rPr>
              <w:t xml:space="preserve">38.698-2025 </w:t>
            </w:r>
          </w:p>
        </w:tc>
      </w:tr>
      <w:tr w:rsidR="002B0BCD" w:rsidRPr="002B0BCD" w14:paraId="7448AAE8" w14:textId="77777777" w:rsidTr="00E57E19">
        <w:tc>
          <w:tcPr>
            <w:tcW w:w="4414" w:type="dxa"/>
          </w:tcPr>
          <w:p w14:paraId="5EDFB998" w14:textId="034E8AA5" w:rsidR="002B0BCD" w:rsidRPr="002B0BCD" w:rsidRDefault="002B0BCD" w:rsidP="002B0BCD">
            <w:pPr>
              <w:spacing w:line="276" w:lineRule="auto"/>
              <w:jc w:val="both"/>
              <w:rPr>
                <w:rFonts w:ascii="Arial" w:hAnsi="Arial" w:cs="Arial"/>
                <w:b/>
                <w:bCs/>
                <w:sz w:val="24"/>
                <w:lang w:val="es-ES_tradnl"/>
              </w:rPr>
            </w:pPr>
            <w:r w:rsidRPr="002B0BCD">
              <w:rPr>
                <w:rFonts w:ascii="Arial" w:hAnsi="Arial" w:cs="Arial"/>
                <w:b/>
                <w:bCs/>
                <w:sz w:val="24"/>
                <w:lang w:val="es-ES_tradnl"/>
              </w:rPr>
              <w:t xml:space="preserve">Fecha de </w:t>
            </w:r>
            <w:r w:rsidR="001F655A">
              <w:rPr>
                <w:rFonts w:ascii="Arial" w:hAnsi="Arial" w:cs="Arial"/>
                <w:b/>
                <w:bCs/>
                <w:sz w:val="24"/>
                <w:lang w:val="es-ES_tradnl"/>
              </w:rPr>
              <w:t xml:space="preserve">la sentencia </w:t>
            </w:r>
          </w:p>
        </w:tc>
        <w:tc>
          <w:tcPr>
            <w:tcW w:w="4414" w:type="dxa"/>
          </w:tcPr>
          <w:p w14:paraId="47DFEB0A" w14:textId="41CA4FF3" w:rsidR="002B0BCD" w:rsidRPr="002B0BCD" w:rsidRDefault="00A832EE" w:rsidP="002B0BCD">
            <w:pPr>
              <w:spacing w:line="276" w:lineRule="auto"/>
              <w:jc w:val="both"/>
              <w:rPr>
                <w:rFonts w:ascii="Arial" w:hAnsi="Arial" w:cs="Arial"/>
                <w:sz w:val="24"/>
                <w:lang w:val="es-ES_tradnl"/>
              </w:rPr>
            </w:pPr>
            <w:r w:rsidRPr="00A832EE">
              <w:rPr>
                <w:rFonts w:ascii="Arial" w:hAnsi="Arial" w:cs="Arial"/>
                <w:sz w:val="24"/>
                <w:lang w:val="es-ES"/>
              </w:rPr>
              <w:t>02/06/2026</w:t>
            </w:r>
          </w:p>
        </w:tc>
      </w:tr>
      <w:tr w:rsidR="002B0BCD" w:rsidRPr="002B0BCD" w14:paraId="4E808922" w14:textId="77777777" w:rsidTr="00E57E19">
        <w:tc>
          <w:tcPr>
            <w:tcW w:w="4414" w:type="dxa"/>
          </w:tcPr>
          <w:p w14:paraId="22D1830A" w14:textId="02921179" w:rsidR="002B0BCD" w:rsidRPr="002B0BCD" w:rsidRDefault="002B0BCD" w:rsidP="002B0BCD">
            <w:pPr>
              <w:tabs>
                <w:tab w:val="center" w:pos="2099"/>
              </w:tabs>
              <w:spacing w:line="276" w:lineRule="auto"/>
              <w:jc w:val="both"/>
              <w:rPr>
                <w:rFonts w:ascii="Arial" w:hAnsi="Arial" w:cs="Arial"/>
                <w:b/>
                <w:bCs/>
                <w:sz w:val="24"/>
                <w:lang w:val="es-ES_tradnl"/>
              </w:rPr>
            </w:pPr>
            <w:r w:rsidRPr="002B0BCD">
              <w:rPr>
                <w:rFonts w:ascii="Arial" w:hAnsi="Arial" w:cs="Arial"/>
                <w:b/>
                <w:bCs/>
                <w:sz w:val="24"/>
                <w:lang w:val="es-ES_tradnl"/>
              </w:rPr>
              <w:t>Recurso</w:t>
            </w:r>
            <w:r>
              <w:rPr>
                <w:rFonts w:ascii="Arial" w:hAnsi="Arial" w:cs="Arial"/>
                <w:b/>
                <w:bCs/>
                <w:sz w:val="24"/>
                <w:lang w:val="es-ES_tradnl"/>
              </w:rPr>
              <w:t>/Materia</w:t>
            </w:r>
            <w:r>
              <w:rPr>
                <w:rFonts w:ascii="Arial" w:hAnsi="Arial" w:cs="Arial"/>
                <w:b/>
                <w:bCs/>
                <w:sz w:val="24"/>
                <w:lang w:val="es-ES_tradnl"/>
              </w:rPr>
              <w:tab/>
            </w:r>
          </w:p>
        </w:tc>
        <w:tc>
          <w:tcPr>
            <w:tcW w:w="4414" w:type="dxa"/>
          </w:tcPr>
          <w:p w14:paraId="5A9CDABE" w14:textId="72B1716E" w:rsidR="002B0BCD" w:rsidRPr="002B0BCD" w:rsidRDefault="002627D1" w:rsidP="002B0BCD">
            <w:pPr>
              <w:spacing w:line="276" w:lineRule="auto"/>
              <w:jc w:val="both"/>
              <w:rPr>
                <w:rFonts w:ascii="Arial" w:hAnsi="Arial" w:cs="Arial"/>
                <w:sz w:val="24"/>
                <w:lang w:val="es-ES_tradnl"/>
              </w:rPr>
            </w:pPr>
            <w:r>
              <w:rPr>
                <w:rFonts w:ascii="Arial" w:hAnsi="Arial" w:cs="Arial"/>
                <w:sz w:val="24"/>
                <w:lang w:val="es-ES_tradnl"/>
              </w:rPr>
              <w:t xml:space="preserve">Casación en el fondo </w:t>
            </w:r>
          </w:p>
        </w:tc>
      </w:tr>
      <w:tr w:rsidR="002B0BCD" w:rsidRPr="002B0BCD" w14:paraId="60A15779" w14:textId="77777777" w:rsidTr="00E57E19">
        <w:tc>
          <w:tcPr>
            <w:tcW w:w="4414" w:type="dxa"/>
          </w:tcPr>
          <w:p w14:paraId="3419BC96" w14:textId="77777777" w:rsidR="002B0BCD" w:rsidRPr="002B0BCD" w:rsidRDefault="002B0BCD" w:rsidP="002B0BCD">
            <w:pPr>
              <w:spacing w:line="276" w:lineRule="auto"/>
              <w:jc w:val="both"/>
              <w:rPr>
                <w:rFonts w:ascii="Arial" w:hAnsi="Arial" w:cs="Arial"/>
                <w:b/>
                <w:bCs/>
                <w:sz w:val="24"/>
                <w:lang w:val="es-ES_tradnl"/>
              </w:rPr>
            </w:pPr>
            <w:r w:rsidRPr="002B0BCD">
              <w:rPr>
                <w:rFonts w:ascii="Arial" w:hAnsi="Arial" w:cs="Arial"/>
                <w:b/>
                <w:bCs/>
                <w:sz w:val="24"/>
                <w:lang w:val="es-ES_tradnl"/>
              </w:rPr>
              <w:t>Resultado</w:t>
            </w:r>
          </w:p>
        </w:tc>
        <w:tc>
          <w:tcPr>
            <w:tcW w:w="4414" w:type="dxa"/>
          </w:tcPr>
          <w:p w14:paraId="5A649B29" w14:textId="249B9026" w:rsidR="002B0BCD" w:rsidRPr="00FB6F1B" w:rsidRDefault="00A832EE" w:rsidP="00FB6F1B">
            <w:pPr>
              <w:spacing w:line="276" w:lineRule="auto"/>
              <w:jc w:val="both"/>
              <w:rPr>
                <w:rFonts w:ascii="Arial" w:hAnsi="Arial" w:cs="Arial"/>
                <w:sz w:val="24"/>
                <w:lang w:val="es-ES_tradnl"/>
              </w:rPr>
            </w:pPr>
            <w:r>
              <w:rPr>
                <w:rFonts w:ascii="Arial" w:hAnsi="Arial" w:cs="Arial"/>
                <w:sz w:val="24"/>
                <w:lang w:val="es-ES_tradnl"/>
              </w:rPr>
              <w:t>Acogido</w:t>
            </w:r>
          </w:p>
        </w:tc>
      </w:tr>
      <w:tr w:rsidR="002B0BCD" w:rsidRPr="002B0BCD" w14:paraId="4CC35AA2" w14:textId="77777777" w:rsidTr="00E57E19">
        <w:tc>
          <w:tcPr>
            <w:tcW w:w="4414" w:type="dxa"/>
          </w:tcPr>
          <w:p w14:paraId="28A5A628" w14:textId="77777777" w:rsidR="002B0BCD" w:rsidRPr="002B0BCD" w:rsidRDefault="002B0BCD" w:rsidP="002B0BCD">
            <w:pPr>
              <w:spacing w:line="276" w:lineRule="auto"/>
              <w:jc w:val="both"/>
              <w:rPr>
                <w:rFonts w:ascii="Arial" w:hAnsi="Arial" w:cs="Arial"/>
                <w:b/>
                <w:bCs/>
                <w:sz w:val="24"/>
                <w:lang w:val="es-ES_tradnl"/>
              </w:rPr>
            </w:pPr>
            <w:r w:rsidRPr="002B0BCD">
              <w:rPr>
                <w:rFonts w:ascii="Arial" w:hAnsi="Arial" w:cs="Arial"/>
                <w:b/>
                <w:bCs/>
                <w:sz w:val="24"/>
                <w:lang w:val="es-ES_tradnl"/>
              </w:rPr>
              <w:t>Caratulado</w:t>
            </w:r>
          </w:p>
        </w:tc>
        <w:tc>
          <w:tcPr>
            <w:tcW w:w="4414" w:type="dxa"/>
          </w:tcPr>
          <w:p w14:paraId="75E42744" w14:textId="4C7670A8" w:rsidR="002B0BCD" w:rsidRPr="002B0BCD" w:rsidRDefault="000E6129" w:rsidP="002B0BCD">
            <w:pPr>
              <w:spacing w:line="276" w:lineRule="auto"/>
              <w:jc w:val="both"/>
              <w:rPr>
                <w:rFonts w:ascii="Arial" w:hAnsi="Arial" w:cs="Arial"/>
                <w:sz w:val="24"/>
                <w:lang w:val="es-ES_tradnl"/>
              </w:rPr>
            </w:pPr>
            <w:r>
              <w:rPr>
                <w:rFonts w:ascii="Arial" w:hAnsi="Arial" w:cs="Arial"/>
                <w:sz w:val="24"/>
                <w:lang w:val="es-ES_tradnl"/>
              </w:rPr>
              <w:t>ANONIMIZADO</w:t>
            </w:r>
          </w:p>
        </w:tc>
      </w:tr>
    </w:tbl>
    <w:p w14:paraId="5869EE8F" w14:textId="198FA07E" w:rsidR="002B0BCD" w:rsidRDefault="002B0BCD" w:rsidP="00187ECC">
      <w:pPr>
        <w:pStyle w:val="Prrafodelista"/>
        <w:pBdr>
          <w:top w:val="nil"/>
          <w:left w:val="nil"/>
          <w:bottom w:val="nil"/>
          <w:right w:val="nil"/>
          <w:between w:val="nil"/>
        </w:pBdr>
        <w:spacing w:line="276" w:lineRule="auto"/>
        <w:ind w:left="1080"/>
        <w:jc w:val="center"/>
        <w:rPr>
          <w:rFonts w:ascii="Arial" w:eastAsia="Times New Roman" w:hAnsi="Arial" w:cs="Arial"/>
          <w:b/>
          <w:color w:val="000000"/>
          <w:sz w:val="24"/>
          <w:szCs w:val="24"/>
          <w:lang w:val="es-ES_tradnl"/>
        </w:rPr>
      </w:pPr>
    </w:p>
    <w:p w14:paraId="360CAEE2" w14:textId="6EC5C889" w:rsidR="002B0BCD" w:rsidRDefault="002B0BCD" w:rsidP="00187ECC">
      <w:pPr>
        <w:pStyle w:val="Prrafodelista"/>
        <w:pBdr>
          <w:top w:val="nil"/>
          <w:left w:val="nil"/>
          <w:bottom w:val="nil"/>
          <w:right w:val="nil"/>
          <w:between w:val="nil"/>
        </w:pBdr>
        <w:spacing w:line="276" w:lineRule="auto"/>
        <w:ind w:left="1080"/>
        <w:jc w:val="center"/>
        <w:rPr>
          <w:rFonts w:ascii="Arial" w:eastAsia="Times New Roman" w:hAnsi="Arial" w:cs="Arial"/>
          <w:b/>
          <w:color w:val="000000"/>
          <w:sz w:val="24"/>
          <w:szCs w:val="24"/>
          <w:lang w:val="es-ES_tradnl"/>
        </w:rPr>
      </w:pPr>
    </w:p>
    <w:p w14:paraId="72C7795F" w14:textId="0CEA5712" w:rsidR="00D1373C" w:rsidRPr="00D1373C" w:rsidRDefault="00AB542C" w:rsidP="00D1373C">
      <w:pPr>
        <w:pStyle w:val="Prrafodelista"/>
        <w:numPr>
          <w:ilvl w:val="0"/>
          <w:numId w:val="4"/>
        </w:numPr>
        <w:spacing w:line="360" w:lineRule="auto"/>
        <w:jc w:val="both"/>
        <w:rPr>
          <w:rFonts w:ascii="Arial" w:hAnsi="Arial" w:cs="Arial"/>
          <w:b/>
          <w:bCs/>
          <w:sz w:val="24"/>
          <w:szCs w:val="24"/>
          <w:lang w:val="es-ES_tradnl"/>
        </w:rPr>
      </w:pPr>
      <w:r w:rsidRPr="00453854">
        <w:rPr>
          <w:rFonts w:ascii="Arial" w:hAnsi="Arial" w:cs="Arial"/>
          <w:b/>
          <w:bCs/>
          <w:sz w:val="24"/>
          <w:szCs w:val="24"/>
          <w:lang w:val="es-ES_tradnl"/>
        </w:rPr>
        <w:t>RESUMEN</w:t>
      </w:r>
    </w:p>
    <w:p w14:paraId="60D870D3" w14:textId="24CF6F32" w:rsidR="002D60B4" w:rsidRDefault="00AB542C" w:rsidP="00165D3C">
      <w:pPr>
        <w:spacing w:line="360" w:lineRule="auto"/>
        <w:jc w:val="both"/>
        <w:rPr>
          <w:rFonts w:ascii="Arial" w:hAnsi="Arial" w:cs="Arial"/>
          <w:sz w:val="24"/>
          <w:szCs w:val="24"/>
          <w:lang w:val="es-ES_tradnl"/>
        </w:rPr>
      </w:pPr>
      <w:r w:rsidRPr="000E6129">
        <w:rPr>
          <w:rFonts w:ascii="Arial" w:hAnsi="Arial" w:cs="Arial"/>
          <w:b/>
          <w:bCs/>
          <w:sz w:val="24"/>
          <w:szCs w:val="24"/>
          <w:lang w:val="es-ES_tradnl"/>
        </w:rPr>
        <w:t xml:space="preserve">Derechos </w:t>
      </w:r>
      <w:r w:rsidR="000E6129" w:rsidRPr="000E6129">
        <w:rPr>
          <w:rFonts w:ascii="Arial" w:hAnsi="Arial" w:cs="Arial"/>
          <w:b/>
          <w:bCs/>
          <w:sz w:val="24"/>
          <w:szCs w:val="24"/>
          <w:lang w:val="es-ES_tradnl"/>
        </w:rPr>
        <w:t>que se acusan vulnerados</w:t>
      </w:r>
      <w:r w:rsidRPr="00D21036">
        <w:rPr>
          <w:rFonts w:ascii="Arial" w:hAnsi="Arial" w:cs="Arial"/>
          <w:sz w:val="24"/>
          <w:szCs w:val="24"/>
          <w:lang w:val="es-ES_tradnl"/>
        </w:rPr>
        <w:t>:</w:t>
      </w:r>
      <w:r w:rsidR="00870A42">
        <w:rPr>
          <w:rFonts w:ascii="Arial" w:hAnsi="Arial" w:cs="Arial"/>
          <w:sz w:val="24"/>
          <w:szCs w:val="24"/>
          <w:lang w:val="es-ES_tradnl"/>
        </w:rPr>
        <w:t xml:space="preserve"> </w:t>
      </w:r>
      <w:r w:rsidR="00A832EE">
        <w:rPr>
          <w:rFonts w:ascii="Arial" w:hAnsi="Arial" w:cs="Arial"/>
          <w:sz w:val="24"/>
          <w:szCs w:val="24"/>
          <w:lang w:val="es-ES_tradnl"/>
        </w:rPr>
        <w:t>Derecho a la compensación económica, protección del cónyuge más débil</w:t>
      </w:r>
      <w:r w:rsidR="00FE3EC7">
        <w:rPr>
          <w:rFonts w:ascii="Arial" w:hAnsi="Arial" w:cs="Arial"/>
          <w:sz w:val="24"/>
          <w:szCs w:val="24"/>
          <w:lang w:val="es-ES_tradnl"/>
        </w:rPr>
        <w:t>.</w:t>
      </w:r>
    </w:p>
    <w:p w14:paraId="092FD624" w14:textId="5E026CE1" w:rsidR="00A832EE" w:rsidRDefault="00A832EE" w:rsidP="00A832EE">
      <w:pPr>
        <w:pStyle w:val="Textoindependiente"/>
        <w:spacing w:before="161" w:line="360" w:lineRule="auto"/>
        <w:ind w:left="0"/>
        <w:jc w:val="both"/>
        <w:rPr>
          <w:rFonts w:ascii="Arial" w:eastAsia="Calibri" w:hAnsi="Arial" w:cs="Arial"/>
          <w:lang w:eastAsia="es-CL"/>
        </w:rPr>
      </w:pPr>
      <w:r w:rsidRPr="00A832EE">
        <w:rPr>
          <w:rFonts w:ascii="Arial" w:eastAsia="Calibri" w:hAnsi="Arial" w:cs="Arial"/>
          <w:lang w:eastAsia="es-CL"/>
        </w:rPr>
        <w:t>La Corte Suprema acoge el recurso de casación en el fondo y determina que, para efectos de configurar y cuantificar la compensación económica, debe considerarse no solo la duración del matrimonio formal, sino también el período de convivencia prematrimonial. El máximo tribunal razona que el matrimonio es un presupuesto general de la institución, pero que el menoscabo económico nace de la postergación laboral efectiva durante la vida en común, la cual a menudo se inicia mucho antes del vínculo legal. Bajo esta premisa, se establece que excluir décadas de convivencia previa para el cálculo del resarcimiento desnaturaliza la finalidad reparadora de la ley.</w:t>
      </w:r>
    </w:p>
    <w:p w14:paraId="75E4231D" w14:textId="5DBFFC17" w:rsidR="00962BE4" w:rsidRPr="00514E31" w:rsidRDefault="00962BE4" w:rsidP="00A832EE">
      <w:pPr>
        <w:pStyle w:val="Textoindependiente"/>
        <w:numPr>
          <w:ilvl w:val="0"/>
          <w:numId w:val="4"/>
        </w:numPr>
        <w:spacing w:before="161" w:line="360" w:lineRule="auto"/>
        <w:jc w:val="both"/>
        <w:rPr>
          <w:b/>
          <w:bCs/>
        </w:rPr>
      </w:pPr>
      <w:r>
        <w:rPr>
          <w:b/>
          <w:bCs/>
        </w:rPr>
        <w:t>HECHOS</w:t>
      </w:r>
    </w:p>
    <w:p w14:paraId="0F20C02F" w14:textId="7E4C2C00" w:rsidR="00A832EE" w:rsidRPr="00A832EE" w:rsidRDefault="00A832EE" w:rsidP="00A832EE">
      <w:pPr>
        <w:spacing w:line="360" w:lineRule="auto"/>
        <w:jc w:val="both"/>
        <w:rPr>
          <w:rFonts w:ascii="Arial" w:hAnsi="Arial" w:cs="Arial"/>
          <w:sz w:val="24"/>
          <w:szCs w:val="24"/>
          <w:lang w:val="es-ES_tradnl"/>
        </w:rPr>
      </w:pPr>
      <w:r w:rsidRPr="00A832EE">
        <w:rPr>
          <w:rFonts w:ascii="Arial" w:hAnsi="Arial" w:cs="Arial"/>
          <w:sz w:val="24"/>
          <w:szCs w:val="24"/>
        </w:rPr>
        <w:t xml:space="preserve">Las partes iniciaron una vida en común y cohabitación en el año 1989, celebrando matrimonio recién en septiembre de 2014 bajo el régimen de separación total de bienes. Durante los más de treinta años de convivencia, la cónyuge asumió el cuidado personal de una hija lactante del marido, del hijo común nacido en 1995 y, posteriormente, de un nieto del demandante. Debido a esta dedicación exclusiva al hogar, la mujer no realizó </w:t>
      </w:r>
      <w:r w:rsidRPr="00A832EE">
        <w:rPr>
          <w:rFonts w:ascii="Arial" w:hAnsi="Arial" w:cs="Arial"/>
          <w:sz w:val="24"/>
          <w:szCs w:val="24"/>
        </w:rPr>
        <w:lastRenderedPageBreak/>
        <w:t>labores remuneradas, careciendo de cotizaciones previsionales y de formación educacional completa. Por el contrario, el marido se desempeñó exitosamente en Ferrocarriles del Estado y como conductor de taxi, logrando adquirir inmuebles y vehículos. Asimismo, se acreditó que el demandado ejerció actos de violencia psicológica, física y sexual contra su cónyuge, lo que tornó intolerable la vida en común y motivó la acogida del divorcio culposo. La Corte de Apelaciones de Valdivia había reducido la compensación económica de $24.000.000 a $8.000.000, considerando únicamente los 6 años de matrimonio formal.</w:t>
      </w:r>
    </w:p>
    <w:p w14:paraId="05A959ED" w14:textId="4761784A" w:rsidR="00DB6F6B" w:rsidRPr="002627D1" w:rsidRDefault="00AB542C" w:rsidP="00A832EE">
      <w:pPr>
        <w:pStyle w:val="Prrafodelista"/>
        <w:numPr>
          <w:ilvl w:val="0"/>
          <w:numId w:val="4"/>
        </w:numPr>
        <w:spacing w:line="360" w:lineRule="auto"/>
        <w:jc w:val="both"/>
        <w:rPr>
          <w:rFonts w:ascii="Arial" w:hAnsi="Arial" w:cs="Arial"/>
          <w:b/>
          <w:bCs/>
          <w:sz w:val="24"/>
          <w:szCs w:val="24"/>
          <w:lang w:val="es-ES_tradnl"/>
        </w:rPr>
      </w:pPr>
      <w:r w:rsidRPr="002627D1">
        <w:rPr>
          <w:rFonts w:ascii="Arial" w:hAnsi="Arial" w:cs="Arial"/>
          <w:b/>
          <w:bCs/>
          <w:sz w:val="24"/>
          <w:szCs w:val="24"/>
          <w:lang w:val="es-ES_tradnl"/>
        </w:rPr>
        <w:t>DERECHO</w:t>
      </w:r>
    </w:p>
    <w:p w14:paraId="3067ABB0" w14:textId="3082425E" w:rsidR="00A832EE" w:rsidRDefault="00A832EE" w:rsidP="002627D1">
      <w:pPr>
        <w:spacing w:line="360" w:lineRule="auto"/>
        <w:jc w:val="both"/>
        <w:rPr>
          <w:rFonts w:ascii="Arial" w:hAnsi="Arial" w:cs="Arial"/>
          <w:sz w:val="24"/>
          <w:szCs w:val="24"/>
        </w:rPr>
      </w:pPr>
      <w:r w:rsidRPr="00A832EE">
        <w:rPr>
          <w:rFonts w:ascii="Arial" w:hAnsi="Arial" w:cs="Arial"/>
          <w:sz w:val="24"/>
          <w:szCs w:val="24"/>
        </w:rPr>
        <w:t>La recurrente alegó la infracción del artículo 62 de la Ley N°19.947 de Matrimonio Civil -norma que contempla, entre las circunstancias para determinar el menoscabo económico y su cuantía, la duración del matrimonio y de la vida en común de los cónyuges-, sosteniendo que la sentencia impugnada excluyó indebidamente la convivencia previa al matrimonio, período durante el cual ella se dedicó al cuidado de los hijos sin trabajo remunerado.</w:t>
      </w:r>
    </w:p>
    <w:p w14:paraId="475ED9FC" w14:textId="29A60F41" w:rsidR="00A832EE" w:rsidRDefault="00A832EE" w:rsidP="002627D1">
      <w:pPr>
        <w:spacing w:line="360" w:lineRule="auto"/>
        <w:jc w:val="both"/>
        <w:rPr>
          <w:rFonts w:ascii="Arial" w:hAnsi="Arial" w:cs="Arial"/>
          <w:sz w:val="24"/>
          <w:szCs w:val="24"/>
        </w:rPr>
      </w:pPr>
      <w:r w:rsidRPr="00A832EE">
        <w:rPr>
          <w:rFonts w:ascii="Arial" w:hAnsi="Arial" w:cs="Arial"/>
          <w:sz w:val="24"/>
          <w:szCs w:val="24"/>
        </w:rPr>
        <w:t>La Corte Suprema razona que el matrimonio es un presupuesto general de la compensación económica, pero no impide considerar una convivencia prematrimonial durante la cual se hayan verificado los presupuestos del menoscabo -dedicación al cuidado de los hijos o del hogar y postergación de una actividad remunerada-, pues el artículo 62 de la Ley N°19.947 de Matrimonio Civil incluye expresamente “la duración del matrimonio y de la vida en común de los cónyuges” como criterio de cuantificación, en línea con el principio de protección del cónyuge más débil.</w:t>
      </w:r>
    </w:p>
    <w:p w14:paraId="3330B10C" w14:textId="3A2482CD" w:rsidR="002627D1" w:rsidRPr="00A832EE" w:rsidRDefault="00A832EE" w:rsidP="00A832EE">
      <w:pPr>
        <w:spacing w:line="360" w:lineRule="auto"/>
        <w:jc w:val="both"/>
        <w:rPr>
          <w:rFonts w:ascii="Arial" w:hAnsi="Arial" w:cs="Arial"/>
          <w:sz w:val="24"/>
          <w:szCs w:val="24"/>
        </w:rPr>
      </w:pPr>
      <w:r w:rsidRPr="00A832EE">
        <w:rPr>
          <w:rFonts w:ascii="Arial" w:hAnsi="Arial" w:cs="Arial"/>
          <w:sz w:val="24"/>
          <w:szCs w:val="24"/>
        </w:rPr>
        <w:t xml:space="preserve">Por estas razones, </w:t>
      </w:r>
      <w:r w:rsidR="00E65FF1">
        <w:rPr>
          <w:rFonts w:ascii="Arial" w:hAnsi="Arial" w:cs="Arial"/>
          <w:sz w:val="24"/>
          <w:szCs w:val="24"/>
        </w:rPr>
        <w:t>la Corte decide acoger el recurso de casación en el fondo y deja sin efecto la decisión de la Corte de Apelaciones de Valdivia, conforme al artículo 782 del Código de Procedimiento Civil</w:t>
      </w:r>
      <w:r>
        <w:rPr>
          <w:rFonts w:ascii="Arial" w:hAnsi="Arial" w:cs="Arial"/>
          <w:sz w:val="24"/>
          <w:szCs w:val="24"/>
        </w:rPr>
        <w:t>.</w:t>
      </w:r>
    </w:p>
    <w:sectPr w:rsidR="002627D1" w:rsidRPr="00A832EE" w:rsidSect="00716A59">
      <w:headerReference w:type="default" r:id="rId9"/>
      <w:footerReference w:type="even" r:id="rId10"/>
      <w:footerReference w:type="default" r:id="rId11"/>
      <w:pgSz w:w="12240" w:h="15840"/>
      <w:pgMar w:top="1418" w:right="1418" w:bottom="1418" w:left="1418"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5F526" w14:textId="77777777" w:rsidR="00924496" w:rsidRDefault="00924496" w:rsidP="00685413">
      <w:pPr>
        <w:spacing w:after="0" w:line="240" w:lineRule="auto"/>
      </w:pPr>
      <w:r>
        <w:separator/>
      </w:r>
    </w:p>
  </w:endnote>
  <w:endnote w:type="continuationSeparator" w:id="0">
    <w:p w14:paraId="2F95A3EA" w14:textId="77777777" w:rsidR="00924496" w:rsidRDefault="00924496" w:rsidP="00685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687147321"/>
      <w:docPartObj>
        <w:docPartGallery w:val="Page Numbers (Bottom of Page)"/>
        <w:docPartUnique/>
      </w:docPartObj>
    </w:sdtPr>
    <w:sdtEndPr>
      <w:rPr>
        <w:rStyle w:val="Nmerodepgina"/>
      </w:rPr>
    </w:sdtEndPr>
    <w:sdtContent>
      <w:p w14:paraId="6068538F" w14:textId="34ABE6C6"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CB17F2B" w14:textId="77777777" w:rsidR="00207B39" w:rsidRDefault="00207B39" w:rsidP="002B0BC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543059073"/>
      <w:docPartObj>
        <w:docPartGallery w:val="Page Numbers (Bottom of Page)"/>
        <w:docPartUnique/>
      </w:docPartObj>
    </w:sdtPr>
    <w:sdtEndPr>
      <w:rPr>
        <w:rStyle w:val="Nmerodepgina"/>
      </w:rPr>
    </w:sdtEndPr>
    <w:sdtContent>
      <w:p w14:paraId="40A6145D" w14:textId="0645F0B3"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552D57">
          <w:rPr>
            <w:rStyle w:val="Nmerodepgina"/>
            <w:noProof/>
          </w:rPr>
          <w:t>1</w:t>
        </w:r>
        <w:r>
          <w:rPr>
            <w:rStyle w:val="Nmerodepgina"/>
          </w:rPr>
          <w:fldChar w:fldCharType="end"/>
        </w:r>
      </w:p>
    </w:sdtContent>
  </w:sdt>
  <w:p w14:paraId="0732BDC0" w14:textId="77777777" w:rsidR="00207B39" w:rsidRDefault="00207B39" w:rsidP="002B0BCD">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73CD9" w14:textId="77777777" w:rsidR="00924496" w:rsidRDefault="00924496" w:rsidP="00685413">
      <w:pPr>
        <w:spacing w:after="0" w:line="240" w:lineRule="auto"/>
      </w:pPr>
      <w:r>
        <w:separator/>
      </w:r>
    </w:p>
  </w:footnote>
  <w:footnote w:type="continuationSeparator" w:id="0">
    <w:p w14:paraId="02FEF00E" w14:textId="77777777" w:rsidR="00924496" w:rsidRDefault="00924496" w:rsidP="00685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4DA2E" w14:textId="540DA113" w:rsidR="00685413" w:rsidRDefault="00685413">
    <w:pPr>
      <w:pStyle w:val="Encabezado"/>
      <w:rPr>
        <w:rFonts w:ascii="Times New Roman" w:hAnsi="Times New Roman" w:cs="Times New Roman"/>
        <w:i/>
        <w:iCs/>
        <w:sz w:val="20"/>
        <w:szCs w:val="20"/>
      </w:rPr>
    </w:pPr>
  </w:p>
  <w:p w14:paraId="52BDF291" w14:textId="7FC220D5" w:rsidR="00A37F1C" w:rsidRDefault="00EF08A9" w:rsidP="00EF08A9">
    <w:pPr>
      <w:pStyle w:val="Encabezado"/>
      <w:jc w:val="right"/>
    </w:pPr>
    <w:r>
      <w:rPr>
        <w:noProof/>
        <w:lang w:val="es-CL"/>
      </w:rPr>
      <w:drawing>
        <wp:inline distT="0" distB="0" distL="0" distR="0" wp14:anchorId="55728B6E" wp14:editId="265BE523">
          <wp:extent cx="993775" cy="1120775"/>
          <wp:effectExtent l="0" t="0" r="0" b="3175"/>
          <wp:docPr id="2" name="image2.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2.png" descr="Imagen que contiene Texto&#10;&#10;Descripción generada automáticamente"/>
                  <pic:cNvPicPr/>
                </pic:nvPicPr>
                <pic:blipFill>
                  <a:blip r:embed="rId1"/>
                  <a:srcRect/>
                  <a:stretch>
                    <a:fillRect/>
                  </a:stretch>
                </pic:blipFill>
                <pic:spPr>
                  <a:xfrm>
                    <a:off x="0" y="0"/>
                    <a:ext cx="993775" cy="1120775"/>
                  </a:xfrm>
                  <a:prstGeom prst="rect">
                    <a:avLst/>
                  </a:prstGeom>
                  <a:ln/>
                </pic:spPr>
              </pic:pic>
            </a:graphicData>
          </a:graphic>
        </wp:inline>
      </w:drawing>
    </w:r>
  </w:p>
  <w:p w14:paraId="7B411028" w14:textId="77777777" w:rsidR="00A37F1C" w:rsidRPr="00985681" w:rsidRDefault="00A37F1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75711"/>
    <w:multiLevelType w:val="multilevel"/>
    <w:tmpl w:val="DDAEDC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4E6D53"/>
    <w:multiLevelType w:val="hybridMultilevel"/>
    <w:tmpl w:val="AF863432"/>
    <w:lvl w:ilvl="0" w:tplc="D3B8C0DE">
      <w:numFmt w:val="bullet"/>
      <w:lvlText w:val=""/>
      <w:lvlJc w:val="left"/>
      <w:pPr>
        <w:ind w:left="720" w:hanging="360"/>
      </w:pPr>
      <w:rPr>
        <w:rFonts w:ascii="Wingdings" w:eastAsia="Calibri" w:hAnsi="Wingdings"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281735DF"/>
    <w:multiLevelType w:val="hybridMultilevel"/>
    <w:tmpl w:val="36908C8C"/>
    <w:lvl w:ilvl="0" w:tplc="BF5A74C6">
      <w:numFmt w:val="bullet"/>
      <w:lvlText w:val="-"/>
      <w:lvlJc w:val="left"/>
      <w:pPr>
        <w:ind w:left="720" w:hanging="360"/>
      </w:pPr>
      <w:rPr>
        <w:rFonts w:ascii="Arial" w:eastAsiaTheme="minorHAnsi"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3B031901"/>
    <w:multiLevelType w:val="multilevel"/>
    <w:tmpl w:val="01962EB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C782906"/>
    <w:multiLevelType w:val="hybridMultilevel"/>
    <w:tmpl w:val="3522BAC2"/>
    <w:lvl w:ilvl="0" w:tplc="331AC17C">
      <w:start w:val="1"/>
      <w:numFmt w:val="upperRoman"/>
      <w:lvlText w:val="%1."/>
      <w:lvlJc w:val="left"/>
      <w:pPr>
        <w:ind w:left="1080" w:hanging="720"/>
      </w:pPr>
      <w:rPr>
        <w:rFonts w:ascii="Arial" w:eastAsia="Calibri" w:hAnsi="Arial" w:cs="Arial" w:hint="default"/>
        <w:b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64927E27"/>
    <w:multiLevelType w:val="hybridMultilevel"/>
    <w:tmpl w:val="724AE208"/>
    <w:lvl w:ilvl="0" w:tplc="4C141678">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78505AA5"/>
    <w:multiLevelType w:val="hybridMultilevel"/>
    <w:tmpl w:val="0EF8C4F6"/>
    <w:lvl w:ilvl="0" w:tplc="A75E58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6"/>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8B0"/>
    <w:rsid w:val="00014596"/>
    <w:rsid w:val="0002133C"/>
    <w:rsid w:val="00021D2C"/>
    <w:rsid w:val="000273E4"/>
    <w:rsid w:val="00027A88"/>
    <w:rsid w:val="000316DE"/>
    <w:rsid w:val="00035EC5"/>
    <w:rsid w:val="00036139"/>
    <w:rsid w:val="0003672E"/>
    <w:rsid w:val="0004410D"/>
    <w:rsid w:val="00045978"/>
    <w:rsid w:val="00055D4C"/>
    <w:rsid w:val="00060129"/>
    <w:rsid w:val="00070B06"/>
    <w:rsid w:val="00075264"/>
    <w:rsid w:val="00082EEF"/>
    <w:rsid w:val="0008326A"/>
    <w:rsid w:val="00087E52"/>
    <w:rsid w:val="000926A7"/>
    <w:rsid w:val="00094B09"/>
    <w:rsid w:val="00096179"/>
    <w:rsid w:val="00096CE7"/>
    <w:rsid w:val="000A2045"/>
    <w:rsid w:val="000B2783"/>
    <w:rsid w:val="000B30CE"/>
    <w:rsid w:val="000B7779"/>
    <w:rsid w:val="000C669E"/>
    <w:rsid w:val="000D12F5"/>
    <w:rsid w:val="000D52B1"/>
    <w:rsid w:val="000D5C76"/>
    <w:rsid w:val="000D6208"/>
    <w:rsid w:val="000E4F3E"/>
    <w:rsid w:val="000E6129"/>
    <w:rsid w:val="000F72B9"/>
    <w:rsid w:val="000F74D7"/>
    <w:rsid w:val="00101F37"/>
    <w:rsid w:val="00102AC2"/>
    <w:rsid w:val="00104576"/>
    <w:rsid w:val="00106464"/>
    <w:rsid w:val="0010656F"/>
    <w:rsid w:val="00110157"/>
    <w:rsid w:val="00110D81"/>
    <w:rsid w:val="001133AE"/>
    <w:rsid w:val="00122120"/>
    <w:rsid w:val="00127592"/>
    <w:rsid w:val="00132531"/>
    <w:rsid w:val="001344AB"/>
    <w:rsid w:val="001378AE"/>
    <w:rsid w:val="00137FE7"/>
    <w:rsid w:val="00141ADB"/>
    <w:rsid w:val="001458A4"/>
    <w:rsid w:val="001463E5"/>
    <w:rsid w:val="00146617"/>
    <w:rsid w:val="00146EAE"/>
    <w:rsid w:val="001510C4"/>
    <w:rsid w:val="00165D3C"/>
    <w:rsid w:val="001670FF"/>
    <w:rsid w:val="00167E1D"/>
    <w:rsid w:val="00174B4B"/>
    <w:rsid w:val="00187ECC"/>
    <w:rsid w:val="00192BB3"/>
    <w:rsid w:val="00195850"/>
    <w:rsid w:val="001A397E"/>
    <w:rsid w:val="001A3CCC"/>
    <w:rsid w:val="001B0B2A"/>
    <w:rsid w:val="001C1C36"/>
    <w:rsid w:val="001C22F4"/>
    <w:rsid w:val="001D17A6"/>
    <w:rsid w:val="001D65C7"/>
    <w:rsid w:val="001E1288"/>
    <w:rsid w:val="001E2F73"/>
    <w:rsid w:val="001F0D06"/>
    <w:rsid w:val="001F2651"/>
    <w:rsid w:val="001F39E0"/>
    <w:rsid w:val="001F4D95"/>
    <w:rsid w:val="001F5D8A"/>
    <w:rsid w:val="001F655A"/>
    <w:rsid w:val="00207B39"/>
    <w:rsid w:val="00214B3A"/>
    <w:rsid w:val="00226339"/>
    <w:rsid w:val="00230A6B"/>
    <w:rsid w:val="00230B23"/>
    <w:rsid w:val="002314A5"/>
    <w:rsid w:val="0023330F"/>
    <w:rsid w:val="0024107C"/>
    <w:rsid w:val="00252764"/>
    <w:rsid w:val="00260EE0"/>
    <w:rsid w:val="00262279"/>
    <w:rsid w:val="002627D1"/>
    <w:rsid w:val="00263E44"/>
    <w:rsid w:val="00270331"/>
    <w:rsid w:val="0027594E"/>
    <w:rsid w:val="00277B7B"/>
    <w:rsid w:val="002845BB"/>
    <w:rsid w:val="00290A7A"/>
    <w:rsid w:val="00290F4B"/>
    <w:rsid w:val="002A1DBF"/>
    <w:rsid w:val="002A2505"/>
    <w:rsid w:val="002A72DB"/>
    <w:rsid w:val="002B0831"/>
    <w:rsid w:val="002B0BCD"/>
    <w:rsid w:val="002B47B6"/>
    <w:rsid w:val="002B4C69"/>
    <w:rsid w:val="002B5FD1"/>
    <w:rsid w:val="002B6A28"/>
    <w:rsid w:val="002B7CAC"/>
    <w:rsid w:val="002C7157"/>
    <w:rsid w:val="002D230E"/>
    <w:rsid w:val="002D60B4"/>
    <w:rsid w:val="002D69B2"/>
    <w:rsid w:val="002D6BC9"/>
    <w:rsid w:val="002F37D0"/>
    <w:rsid w:val="003019DC"/>
    <w:rsid w:val="00304153"/>
    <w:rsid w:val="00312522"/>
    <w:rsid w:val="003243EF"/>
    <w:rsid w:val="003300DB"/>
    <w:rsid w:val="003335E1"/>
    <w:rsid w:val="00334C6F"/>
    <w:rsid w:val="00336BEC"/>
    <w:rsid w:val="00341863"/>
    <w:rsid w:val="00354200"/>
    <w:rsid w:val="003563B5"/>
    <w:rsid w:val="00356D7A"/>
    <w:rsid w:val="00360CC2"/>
    <w:rsid w:val="00360E2A"/>
    <w:rsid w:val="00364FED"/>
    <w:rsid w:val="00365A73"/>
    <w:rsid w:val="003734EA"/>
    <w:rsid w:val="003757D6"/>
    <w:rsid w:val="00376694"/>
    <w:rsid w:val="00384892"/>
    <w:rsid w:val="003A308C"/>
    <w:rsid w:val="003A41EE"/>
    <w:rsid w:val="003A4900"/>
    <w:rsid w:val="003A63B0"/>
    <w:rsid w:val="003B2DDC"/>
    <w:rsid w:val="003C145F"/>
    <w:rsid w:val="003C2F4F"/>
    <w:rsid w:val="003C32F8"/>
    <w:rsid w:val="003C3A30"/>
    <w:rsid w:val="003C5FBB"/>
    <w:rsid w:val="003E6980"/>
    <w:rsid w:val="003E71A1"/>
    <w:rsid w:val="003F19A4"/>
    <w:rsid w:val="0040098F"/>
    <w:rsid w:val="004011FE"/>
    <w:rsid w:val="00403B02"/>
    <w:rsid w:val="00404C73"/>
    <w:rsid w:val="004056E8"/>
    <w:rsid w:val="004109CE"/>
    <w:rsid w:val="00412D95"/>
    <w:rsid w:val="00414912"/>
    <w:rsid w:val="0041591F"/>
    <w:rsid w:val="004242B6"/>
    <w:rsid w:val="004320D7"/>
    <w:rsid w:val="0044447C"/>
    <w:rsid w:val="00452C3C"/>
    <w:rsid w:val="00453854"/>
    <w:rsid w:val="004563EC"/>
    <w:rsid w:val="00457247"/>
    <w:rsid w:val="00460928"/>
    <w:rsid w:val="0046198A"/>
    <w:rsid w:val="00464D8C"/>
    <w:rsid w:val="00475069"/>
    <w:rsid w:val="00475BC2"/>
    <w:rsid w:val="00490BF9"/>
    <w:rsid w:val="004918AE"/>
    <w:rsid w:val="00491E96"/>
    <w:rsid w:val="004A077B"/>
    <w:rsid w:val="004A2D93"/>
    <w:rsid w:val="004A3FAF"/>
    <w:rsid w:val="004A4E8C"/>
    <w:rsid w:val="004B287B"/>
    <w:rsid w:val="004B64B9"/>
    <w:rsid w:val="004C177A"/>
    <w:rsid w:val="004D0C39"/>
    <w:rsid w:val="004E0BFE"/>
    <w:rsid w:val="004E1DF3"/>
    <w:rsid w:val="004E2279"/>
    <w:rsid w:val="004E767A"/>
    <w:rsid w:val="004F20FE"/>
    <w:rsid w:val="004F52DF"/>
    <w:rsid w:val="005005A1"/>
    <w:rsid w:val="005055CF"/>
    <w:rsid w:val="00506F04"/>
    <w:rsid w:val="00507B07"/>
    <w:rsid w:val="00514E31"/>
    <w:rsid w:val="0052169B"/>
    <w:rsid w:val="00521D3C"/>
    <w:rsid w:val="0052278C"/>
    <w:rsid w:val="00525A0C"/>
    <w:rsid w:val="005348C4"/>
    <w:rsid w:val="00545B64"/>
    <w:rsid w:val="00552D57"/>
    <w:rsid w:val="00565007"/>
    <w:rsid w:val="00565692"/>
    <w:rsid w:val="0056735F"/>
    <w:rsid w:val="0057090C"/>
    <w:rsid w:val="005754C9"/>
    <w:rsid w:val="00584C23"/>
    <w:rsid w:val="00585BD2"/>
    <w:rsid w:val="00585F6D"/>
    <w:rsid w:val="0058670D"/>
    <w:rsid w:val="00587A37"/>
    <w:rsid w:val="005933FB"/>
    <w:rsid w:val="00593A7D"/>
    <w:rsid w:val="00595488"/>
    <w:rsid w:val="00596A40"/>
    <w:rsid w:val="0059727D"/>
    <w:rsid w:val="005A059C"/>
    <w:rsid w:val="005A0D77"/>
    <w:rsid w:val="005A0FC5"/>
    <w:rsid w:val="005A2ED2"/>
    <w:rsid w:val="005A5A41"/>
    <w:rsid w:val="005A6614"/>
    <w:rsid w:val="005A7C88"/>
    <w:rsid w:val="005B11B2"/>
    <w:rsid w:val="005B3A61"/>
    <w:rsid w:val="005B50DE"/>
    <w:rsid w:val="005C3A64"/>
    <w:rsid w:val="005C4C85"/>
    <w:rsid w:val="005C52E8"/>
    <w:rsid w:val="005C6635"/>
    <w:rsid w:val="005D0DA1"/>
    <w:rsid w:val="005D29CD"/>
    <w:rsid w:val="005D6270"/>
    <w:rsid w:val="005E2F04"/>
    <w:rsid w:val="005E48F5"/>
    <w:rsid w:val="005E4B65"/>
    <w:rsid w:val="005E4C3D"/>
    <w:rsid w:val="005E6112"/>
    <w:rsid w:val="005E6B91"/>
    <w:rsid w:val="005F3C9B"/>
    <w:rsid w:val="005F647A"/>
    <w:rsid w:val="005F6B0C"/>
    <w:rsid w:val="00603160"/>
    <w:rsid w:val="006053B3"/>
    <w:rsid w:val="00610008"/>
    <w:rsid w:val="006107A2"/>
    <w:rsid w:val="0061778A"/>
    <w:rsid w:val="00622A40"/>
    <w:rsid w:val="00622D5F"/>
    <w:rsid w:val="00632179"/>
    <w:rsid w:val="0063260D"/>
    <w:rsid w:val="00641AD8"/>
    <w:rsid w:val="00642EF1"/>
    <w:rsid w:val="006545C8"/>
    <w:rsid w:val="00661021"/>
    <w:rsid w:val="0066620F"/>
    <w:rsid w:val="00672BB8"/>
    <w:rsid w:val="006756BF"/>
    <w:rsid w:val="00680D74"/>
    <w:rsid w:val="00681F83"/>
    <w:rsid w:val="00685413"/>
    <w:rsid w:val="00687EEE"/>
    <w:rsid w:val="006A2411"/>
    <w:rsid w:val="006A7858"/>
    <w:rsid w:val="006B12EF"/>
    <w:rsid w:val="006C0E1E"/>
    <w:rsid w:val="006E0BA7"/>
    <w:rsid w:val="006F0FB7"/>
    <w:rsid w:val="007017A8"/>
    <w:rsid w:val="00710602"/>
    <w:rsid w:val="007112B1"/>
    <w:rsid w:val="00716A59"/>
    <w:rsid w:val="007171FB"/>
    <w:rsid w:val="007213DD"/>
    <w:rsid w:val="007311AC"/>
    <w:rsid w:val="00736BC4"/>
    <w:rsid w:val="00737B0D"/>
    <w:rsid w:val="007470C0"/>
    <w:rsid w:val="00754553"/>
    <w:rsid w:val="00755396"/>
    <w:rsid w:val="00760468"/>
    <w:rsid w:val="00780479"/>
    <w:rsid w:val="00783AAA"/>
    <w:rsid w:val="00783F81"/>
    <w:rsid w:val="007870C2"/>
    <w:rsid w:val="00790662"/>
    <w:rsid w:val="00790F6D"/>
    <w:rsid w:val="007920F5"/>
    <w:rsid w:val="00794AD5"/>
    <w:rsid w:val="00796E87"/>
    <w:rsid w:val="007A0229"/>
    <w:rsid w:val="007B214C"/>
    <w:rsid w:val="007B7E6C"/>
    <w:rsid w:val="007C3715"/>
    <w:rsid w:val="007C4610"/>
    <w:rsid w:val="007C60FD"/>
    <w:rsid w:val="007F017D"/>
    <w:rsid w:val="007F2B3A"/>
    <w:rsid w:val="007F3A53"/>
    <w:rsid w:val="007F4E46"/>
    <w:rsid w:val="007F59E7"/>
    <w:rsid w:val="0080129E"/>
    <w:rsid w:val="008029D3"/>
    <w:rsid w:val="008046B0"/>
    <w:rsid w:val="00805B86"/>
    <w:rsid w:val="008113E4"/>
    <w:rsid w:val="008214A5"/>
    <w:rsid w:val="00823E10"/>
    <w:rsid w:val="008251D5"/>
    <w:rsid w:val="00830821"/>
    <w:rsid w:val="0083143C"/>
    <w:rsid w:val="0083310F"/>
    <w:rsid w:val="00834DF0"/>
    <w:rsid w:val="0085419B"/>
    <w:rsid w:val="00854426"/>
    <w:rsid w:val="00856ABC"/>
    <w:rsid w:val="00856D3D"/>
    <w:rsid w:val="00856FC8"/>
    <w:rsid w:val="00870A42"/>
    <w:rsid w:val="008715B0"/>
    <w:rsid w:val="00872F0A"/>
    <w:rsid w:val="00883874"/>
    <w:rsid w:val="00894059"/>
    <w:rsid w:val="008950DE"/>
    <w:rsid w:val="00895AD8"/>
    <w:rsid w:val="008A0E5E"/>
    <w:rsid w:val="008A1EF9"/>
    <w:rsid w:val="008A243C"/>
    <w:rsid w:val="008A2891"/>
    <w:rsid w:val="008B3901"/>
    <w:rsid w:val="008B7095"/>
    <w:rsid w:val="008C1576"/>
    <w:rsid w:val="008C1C5B"/>
    <w:rsid w:val="008C4555"/>
    <w:rsid w:val="008C49A2"/>
    <w:rsid w:val="008D2CC9"/>
    <w:rsid w:val="009018CA"/>
    <w:rsid w:val="009108C6"/>
    <w:rsid w:val="00916B7B"/>
    <w:rsid w:val="00916DB0"/>
    <w:rsid w:val="0092282C"/>
    <w:rsid w:val="00924496"/>
    <w:rsid w:val="009246BF"/>
    <w:rsid w:val="009313AE"/>
    <w:rsid w:val="00933B43"/>
    <w:rsid w:val="009448EE"/>
    <w:rsid w:val="00946F95"/>
    <w:rsid w:val="00961096"/>
    <w:rsid w:val="00962BE4"/>
    <w:rsid w:val="00985681"/>
    <w:rsid w:val="00994E29"/>
    <w:rsid w:val="009953B2"/>
    <w:rsid w:val="00995498"/>
    <w:rsid w:val="00997DC1"/>
    <w:rsid w:val="009A1ADF"/>
    <w:rsid w:val="009A2F1B"/>
    <w:rsid w:val="009A5092"/>
    <w:rsid w:val="009A6DD7"/>
    <w:rsid w:val="009B3BB5"/>
    <w:rsid w:val="009B5397"/>
    <w:rsid w:val="009B6497"/>
    <w:rsid w:val="009B6DCE"/>
    <w:rsid w:val="009B75B1"/>
    <w:rsid w:val="009C0F89"/>
    <w:rsid w:val="009C5F45"/>
    <w:rsid w:val="009C6C08"/>
    <w:rsid w:val="009C79C8"/>
    <w:rsid w:val="009D439C"/>
    <w:rsid w:val="009D4444"/>
    <w:rsid w:val="009D62C6"/>
    <w:rsid w:val="009E4ACB"/>
    <w:rsid w:val="00A07795"/>
    <w:rsid w:val="00A2799D"/>
    <w:rsid w:val="00A35CE2"/>
    <w:rsid w:val="00A37F1C"/>
    <w:rsid w:val="00A4141B"/>
    <w:rsid w:val="00A414FD"/>
    <w:rsid w:val="00A41F5C"/>
    <w:rsid w:val="00A43027"/>
    <w:rsid w:val="00A523E9"/>
    <w:rsid w:val="00A5342E"/>
    <w:rsid w:val="00A567DA"/>
    <w:rsid w:val="00A570E8"/>
    <w:rsid w:val="00A65F51"/>
    <w:rsid w:val="00A70B14"/>
    <w:rsid w:val="00A722A9"/>
    <w:rsid w:val="00A729D5"/>
    <w:rsid w:val="00A768BF"/>
    <w:rsid w:val="00A8042B"/>
    <w:rsid w:val="00A819BC"/>
    <w:rsid w:val="00A81F5A"/>
    <w:rsid w:val="00A832EE"/>
    <w:rsid w:val="00A8494F"/>
    <w:rsid w:val="00A90647"/>
    <w:rsid w:val="00A93AD0"/>
    <w:rsid w:val="00A94D39"/>
    <w:rsid w:val="00AA6DBB"/>
    <w:rsid w:val="00AB542C"/>
    <w:rsid w:val="00AD4F2C"/>
    <w:rsid w:val="00AD50C4"/>
    <w:rsid w:val="00AE50A3"/>
    <w:rsid w:val="00AF0991"/>
    <w:rsid w:val="00B000DB"/>
    <w:rsid w:val="00B0314E"/>
    <w:rsid w:val="00B050B1"/>
    <w:rsid w:val="00B217C0"/>
    <w:rsid w:val="00B24107"/>
    <w:rsid w:val="00B303C6"/>
    <w:rsid w:val="00B34582"/>
    <w:rsid w:val="00B37B30"/>
    <w:rsid w:val="00B436CF"/>
    <w:rsid w:val="00B60C97"/>
    <w:rsid w:val="00B61763"/>
    <w:rsid w:val="00B62833"/>
    <w:rsid w:val="00B62A8B"/>
    <w:rsid w:val="00B63090"/>
    <w:rsid w:val="00B65B48"/>
    <w:rsid w:val="00B7199C"/>
    <w:rsid w:val="00B73344"/>
    <w:rsid w:val="00B73924"/>
    <w:rsid w:val="00B755B0"/>
    <w:rsid w:val="00B77EF7"/>
    <w:rsid w:val="00B80E1D"/>
    <w:rsid w:val="00B81449"/>
    <w:rsid w:val="00B81513"/>
    <w:rsid w:val="00B86C63"/>
    <w:rsid w:val="00B92581"/>
    <w:rsid w:val="00B97A31"/>
    <w:rsid w:val="00BB3245"/>
    <w:rsid w:val="00BB5083"/>
    <w:rsid w:val="00BC13EE"/>
    <w:rsid w:val="00BC5491"/>
    <w:rsid w:val="00BD1A1E"/>
    <w:rsid w:val="00BD2B24"/>
    <w:rsid w:val="00BD7D26"/>
    <w:rsid w:val="00BE501C"/>
    <w:rsid w:val="00BE5E36"/>
    <w:rsid w:val="00BE6C62"/>
    <w:rsid w:val="00BF3195"/>
    <w:rsid w:val="00C00875"/>
    <w:rsid w:val="00C01105"/>
    <w:rsid w:val="00C02336"/>
    <w:rsid w:val="00C155C0"/>
    <w:rsid w:val="00C16328"/>
    <w:rsid w:val="00C224A7"/>
    <w:rsid w:val="00C2295E"/>
    <w:rsid w:val="00C24B85"/>
    <w:rsid w:val="00C5240A"/>
    <w:rsid w:val="00C53545"/>
    <w:rsid w:val="00C53CF9"/>
    <w:rsid w:val="00C53F4A"/>
    <w:rsid w:val="00C54D64"/>
    <w:rsid w:val="00C5556C"/>
    <w:rsid w:val="00C644AB"/>
    <w:rsid w:val="00C7006E"/>
    <w:rsid w:val="00C70DB3"/>
    <w:rsid w:val="00C73394"/>
    <w:rsid w:val="00C74D65"/>
    <w:rsid w:val="00C85E1B"/>
    <w:rsid w:val="00C87C4A"/>
    <w:rsid w:val="00C9124A"/>
    <w:rsid w:val="00C91EFA"/>
    <w:rsid w:val="00C929C4"/>
    <w:rsid w:val="00C92A60"/>
    <w:rsid w:val="00C938AD"/>
    <w:rsid w:val="00C9578C"/>
    <w:rsid w:val="00CA0B1B"/>
    <w:rsid w:val="00CB048D"/>
    <w:rsid w:val="00CB150D"/>
    <w:rsid w:val="00CB3A4D"/>
    <w:rsid w:val="00CC0D5D"/>
    <w:rsid w:val="00CC515D"/>
    <w:rsid w:val="00CC51F8"/>
    <w:rsid w:val="00CC5330"/>
    <w:rsid w:val="00CC7C4A"/>
    <w:rsid w:val="00CD43C8"/>
    <w:rsid w:val="00CD7689"/>
    <w:rsid w:val="00CE366F"/>
    <w:rsid w:val="00CE5439"/>
    <w:rsid w:val="00CF3BD7"/>
    <w:rsid w:val="00D013B0"/>
    <w:rsid w:val="00D026C4"/>
    <w:rsid w:val="00D036FF"/>
    <w:rsid w:val="00D0707C"/>
    <w:rsid w:val="00D1373C"/>
    <w:rsid w:val="00D14618"/>
    <w:rsid w:val="00D21036"/>
    <w:rsid w:val="00D22647"/>
    <w:rsid w:val="00D31932"/>
    <w:rsid w:val="00D336B1"/>
    <w:rsid w:val="00D35DE2"/>
    <w:rsid w:val="00D40332"/>
    <w:rsid w:val="00D403E0"/>
    <w:rsid w:val="00D4292B"/>
    <w:rsid w:val="00D4297C"/>
    <w:rsid w:val="00D43BAC"/>
    <w:rsid w:val="00D451D9"/>
    <w:rsid w:val="00D51218"/>
    <w:rsid w:val="00D5420E"/>
    <w:rsid w:val="00D65C8E"/>
    <w:rsid w:val="00D8370D"/>
    <w:rsid w:val="00D87BE2"/>
    <w:rsid w:val="00D87D97"/>
    <w:rsid w:val="00D906E4"/>
    <w:rsid w:val="00DA1776"/>
    <w:rsid w:val="00DA21EA"/>
    <w:rsid w:val="00DB2926"/>
    <w:rsid w:val="00DB6F6B"/>
    <w:rsid w:val="00DB79D0"/>
    <w:rsid w:val="00DD4E00"/>
    <w:rsid w:val="00DD6C27"/>
    <w:rsid w:val="00DE5D23"/>
    <w:rsid w:val="00DF28B0"/>
    <w:rsid w:val="00DF3859"/>
    <w:rsid w:val="00DF500C"/>
    <w:rsid w:val="00DF6291"/>
    <w:rsid w:val="00DF6D69"/>
    <w:rsid w:val="00E014A9"/>
    <w:rsid w:val="00E03D53"/>
    <w:rsid w:val="00E15319"/>
    <w:rsid w:val="00E22F17"/>
    <w:rsid w:val="00E240B4"/>
    <w:rsid w:val="00E33AD1"/>
    <w:rsid w:val="00E33F4A"/>
    <w:rsid w:val="00E36E40"/>
    <w:rsid w:val="00E40EC8"/>
    <w:rsid w:val="00E43295"/>
    <w:rsid w:val="00E46E03"/>
    <w:rsid w:val="00E5430E"/>
    <w:rsid w:val="00E57E19"/>
    <w:rsid w:val="00E65DB5"/>
    <w:rsid w:val="00E65FF1"/>
    <w:rsid w:val="00E67E56"/>
    <w:rsid w:val="00E70A26"/>
    <w:rsid w:val="00E77085"/>
    <w:rsid w:val="00E83E03"/>
    <w:rsid w:val="00E868D4"/>
    <w:rsid w:val="00E90368"/>
    <w:rsid w:val="00E91CF5"/>
    <w:rsid w:val="00E95574"/>
    <w:rsid w:val="00E95FB8"/>
    <w:rsid w:val="00E96AFC"/>
    <w:rsid w:val="00EB2DA1"/>
    <w:rsid w:val="00EB45D3"/>
    <w:rsid w:val="00EB4DCB"/>
    <w:rsid w:val="00EB5C1D"/>
    <w:rsid w:val="00EC42A2"/>
    <w:rsid w:val="00ED0AEA"/>
    <w:rsid w:val="00EE3C96"/>
    <w:rsid w:val="00EF08A9"/>
    <w:rsid w:val="00EF72ED"/>
    <w:rsid w:val="00EF7C86"/>
    <w:rsid w:val="00F03854"/>
    <w:rsid w:val="00F0560C"/>
    <w:rsid w:val="00F1181A"/>
    <w:rsid w:val="00F14520"/>
    <w:rsid w:val="00F2481C"/>
    <w:rsid w:val="00F341B9"/>
    <w:rsid w:val="00F356E0"/>
    <w:rsid w:val="00F414FF"/>
    <w:rsid w:val="00F428A6"/>
    <w:rsid w:val="00F4483E"/>
    <w:rsid w:val="00F535C1"/>
    <w:rsid w:val="00F56C0D"/>
    <w:rsid w:val="00F64849"/>
    <w:rsid w:val="00F66E9F"/>
    <w:rsid w:val="00F706DB"/>
    <w:rsid w:val="00F749AC"/>
    <w:rsid w:val="00F74C80"/>
    <w:rsid w:val="00F7505C"/>
    <w:rsid w:val="00F80F15"/>
    <w:rsid w:val="00F91291"/>
    <w:rsid w:val="00F92213"/>
    <w:rsid w:val="00F96F53"/>
    <w:rsid w:val="00F97822"/>
    <w:rsid w:val="00FA6E76"/>
    <w:rsid w:val="00FB6F1B"/>
    <w:rsid w:val="00FC01B5"/>
    <w:rsid w:val="00FC52C9"/>
    <w:rsid w:val="00FC7877"/>
    <w:rsid w:val="00FE3EC7"/>
    <w:rsid w:val="00FE6A71"/>
    <w:rsid w:val="00FF024B"/>
    <w:rsid w:val="00FF308C"/>
    <w:rsid w:val="00FF62D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9CAA8"/>
  <w15:docId w15:val="{67D1E08D-AE24-4F51-8067-C270D660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B48"/>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basedOn w:val="Normal"/>
    <w:uiPriority w:val="34"/>
    <w:qFormat/>
    <w:rsid w:val="00C965F1"/>
    <w:pPr>
      <w:ind w:left="720"/>
      <w:contextualSpacing/>
    </w:pPr>
  </w:style>
  <w:style w:type="table" w:styleId="Tablaconcuadrcula">
    <w:name w:val="Table Grid"/>
    <w:basedOn w:val="Tablanormal"/>
    <w:uiPriority w:val="39"/>
    <w:rsid w:val="00C96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after="0" w:line="240" w:lineRule="auto"/>
    </w:pPr>
    <w:tblPr>
      <w:tblStyleRowBandSize w:val="1"/>
      <w:tblStyleColBandSize w:val="1"/>
      <w:tblCellMar>
        <w:left w:w="108" w:type="dxa"/>
        <w:right w:w="108" w:type="dxa"/>
      </w:tblCellMar>
    </w:tbl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 w:type="paragraph" w:styleId="Encabezado">
    <w:name w:val="header"/>
    <w:basedOn w:val="Normal"/>
    <w:link w:val="EncabezadoCar"/>
    <w:uiPriority w:val="99"/>
    <w:unhideWhenUsed/>
    <w:rsid w:val="0068541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5413"/>
  </w:style>
  <w:style w:type="paragraph" w:styleId="Piedepgina">
    <w:name w:val="footer"/>
    <w:basedOn w:val="Normal"/>
    <w:link w:val="PiedepginaCar"/>
    <w:uiPriority w:val="99"/>
    <w:unhideWhenUsed/>
    <w:rsid w:val="006854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5413"/>
  </w:style>
  <w:style w:type="character" w:styleId="Refdecomentario">
    <w:name w:val="annotation reference"/>
    <w:basedOn w:val="Fuentedeprrafopredeter"/>
    <w:uiPriority w:val="99"/>
    <w:semiHidden/>
    <w:unhideWhenUsed/>
    <w:rsid w:val="00A37F1C"/>
    <w:rPr>
      <w:sz w:val="16"/>
      <w:szCs w:val="16"/>
    </w:rPr>
  </w:style>
  <w:style w:type="paragraph" w:styleId="Textocomentario">
    <w:name w:val="annotation text"/>
    <w:basedOn w:val="Normal"/>
    <w:link w:val="TextocomentarioCar"/>
    <w:uiPriority w:val="99"/>
    <w:semiHidden/>
    <w:unhideWhenUsed/>
    <w:rsid w:val="00A37F1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37F1C"/>
    <w:rPr>
      <w:sz w:val="20"/>
      <w:szCs w:val="20"/>
    </w:rPr>
  </w:style>
  <w:style w:type="paragraph" w:styleId="Asuntodelcomentario">
    <w:name w:val="annotation subject"/>
    <w:basedOn w:val="Textocomentario"/>
    <w:next w:val="Textocomentario"/>
    <w:link w:val="AsuntodelcomentarioCar"/>
    <w:uiPriority w:val="99"/>
    <w:semiHidden/>
    <w:unhideWhenUsed/>
    <w:rsid w:val="00A37F1C"/>
    <w:rPr>
      <w:b/>
      <w:bCs/>
    </w:rPr>
  </w:style>
  <w:style w:type="character" w:customStyle="1" w:styleId="AsuntodelcomentarioCar">
    <w:name w:val="Asunto del comentario Car"/>
    <w:basedOn w:val="TextocomentarioCar"/>
    <w:link w:val="Asuntodelcomentario"/>
    <w:uiPriority w:val="99"/>
    <w:semiHidden/>
    <w:rsid w:val="00A37F1C"/>
    <w:rPr>
      <w:b/>
      <w:bCs/>
      <w:sz w:val="20"/>
      <w:szCs w:val="20"/>
    </w:rPr>
  </w:style>
  <w:style w:type="paragraph" w:styleId="Textodeglobo">
    <w:name w:val="Balloon Text"/>
    <w:basedOn w:val="Normal"/>
    <w:link w:val="TextodegloboCar"/>
    <w:uiPriority w:val="99"/>
    <w:semiHidden/>
    <w:unhideWhenUsed/>
    <w:rsid w:val="00A37F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7F1C"/>
    <w:rPr>
      <w:rFonts w:ascii="Segoe UI" w:hAnsi="Segoe UI" w:cs="Segoe UI"/>
      <w:sz w:val="18"/>
      <w:szCs w:val="18"/>
    </w:rPr>
  </w:style>
  <w:style w:type="paragraph" w:styleId="Revisin">
    <w:name w:val="Revision"/>
    <w:hidden/>
    <w:uiPriority w:val="99"/>
    <w:semiHidden/>
    <w:rsid w:val="00207B39"/>
    <w:pPr>
      <w:spacing w:after="0" w:line="240" w:lineRule="auto"/>
    </w:pPr>
  </w:style>
  <w:style w:type="character" w:styleId="Nmerodepgina">
    <w:name w:val="page number"/>
    <w:basedOn w:val="Fuentedeprrafopredeter"/>
    <w:uiPriority w:val="99"/>
    <w:semiHidden/>
    <w:unhideWhenUsed/>
    <w:rsid w:val="00207B39"/>
  </w:style>
  <w:style w:type="table" w:customStyle="1" w:styleId="Tablaconcuadrcula1">
    <w:name w:val="Tabla con cuadrícula1"/>
    <w:basedOn w:val="Tablanormal"/>
    <w:next w:val="Tablaconcuadrcula"/>
    <w:uiPriority w:val="39"/>
    <w:rsid w:val="002B0BCD"/>
    <w:pPr>
      <w:spacing w:after="0" w:line="240" w:lineRule="auto"/>
    </w:pPr>
    <w:rPr>
      <w:rFonts w:ascii="Times New Roman" w:eastAsiaTheme="minorHAnsi" w:hAnsi="Times New Roman" w:cs="Courier New"/>
      <w:color w:val="000000"/>
      <w:kern w:val="2"/>
      <w:sz w:val="20"/>
      <w:szCs w:val="24"/>
      <w:lang w:val="es-C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0E6129"/>
    <w:pPr>
      <w:widowControl w:val="0"/>
      <w:autoSpaceDE w:val="0"/>
      <w:autoSpaceDN w:val="0"/>
      <w:spacing w:after="0" w:line="240" w:lineRule="auto"/>
      <w:ind w:left="338"/>
    </w:pPr>
    <w:rPr>
      <w:rFonts w:ascii="Arial MT" w:eastAsia="Arial MT" w:hAnsi="Arial MT" w:cs="Arial MT"/>
      <w:sz w:val="24"/>
      <w:szCs w:val="24"/>
      <w:lang w:eastAsia="en-US"/>
    </w:rPr>
  </w:style>
  <w:style w:type="character" w:customStyle="1" w:styleId="TextoindependienteCar">
    <w:name w:val="Texto independiente Car"/>
    <w:basedOn w:val="Fuentedeprrafopredeter"/>
    <w:link w:val="Textoindependiente"/>
    <w:uiPriority w:val="1"/>
    <w:rsid w:val="000E6129"/>
    <w:rPr>
      <w:rFonts w:ascii="Arial MT" w:eastAsia="Arial MT" w:hAnsi="Arial MT" w:cs="Arial MT"/>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767912">
      <w:bodyDiv w:val="1"/>
      <w:marLeft w:val="0"/>
      <w:marRight w:val="0"/>
      <w:marTop w:val="0"/>
      <w:marBottom w:val="0"/>
      <w:divBdr>
        <w:top w:val="none" w:sz="0" w:space="0" w:color="auto"/>
        <w:left w:val="none" w:sz="0" w:space="0" w:color="auto"/>
        <w:bottom w:val="none" w:sz="0" w:space="0" w:color="auto"/>
        <w:right w:val="none" w:sz="0" w:space="0" w:color="auto"/>
      </w:divBdr>
    </w:div>
    <w:div w:id="1572158617">
      <w:bodyDiv w:val="1"/>
      <w:marLeft w:val="0"/>
      <w:marRight w:val="0"/>
      <w:marTop w:val="0"/>
      <w:marBottom w:val="0"/>
      <w:divBdr>
        <w:top w:val="none" w:sz="0" w:space="0" w:color="auto"/>
        <w:left w:val="none" w:sz="0" w:space="0" w:color="auto"/>
        <w:bottom w:val="none" w:sz="0" w:space="0" w:color="auto"/>
        <w:right w:val="none" w:sz="0" w:space="0" w:color="auto"/>
      </w:divBdr>
    </w:div>
    <w:div w:id="1584993312">
      <w:bodyDiv w:val="1"/>
      <w:marLeft w:val="0"/>
      <w:marRight w:val="0"/>
      <w:marTop w:val="0"/>
      <w:marBottom w:val="0"/>
      <w:divBdr>
        <w:top w:val="none" w:sz="0" w:space="0" w:color="auto"/>
        <w:left w:val="none" w:sz="0" w:space="0" w:color="auto"/>
        <w:bottom w:val="none" w:sz="0" w:space="0" w:color="auto"/>
        <w:right w:val="none" w:sz="0" w:space="0" w:color="auto"/>
      </w:divBdr>
    </w:div>
    <w:div w:id="1656448354">
      <w:bodyDiv w:val="1"/>
      <w:marLeft w:val="0"/>
      <w:marRight w:val="0"/>
      <w:marTop w:val="0"/>
      <w:marBottom w:val="0"/>
      <w:divBdr>
        <w:top w:val="none" w:sz="0" w:space="0" w:color="auto"/>
        <w:left w:val="none" w:sz="0" w:space="0" w:color="auto"/>
        <w:bottom w:val="none" w:sz="0" w:space="0" w:color="auto"/>
        <w:right w:val="none" w:sz="0" w:space="0" w:color="auto"/>
      </w:divBdr>
    </w:div>
    <w:div w:id="1666588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0+na2EzKJGTXtyBiP4O1QIuvwQ==">CgMxLjA4AHIhMVltSXRFbzFJV1VMdWoyZTdkNmJfUEpkVzVYa2Vsd1Q4</go:docsCustomData>
</go:gDocsCustomXmlDataStorage>
</file>

<file path=customXml/itemProps1.xml><?xml version="1.0" encoding="utf-8"?>
<ds:datastoreItem xmlns:ds="http://schemas.openxmlformats.org/officeDocument/2006/customXml" ds:itemID="{43038427-B518-487F-A689-A17C662CD13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502</Words>
  <Characters>2766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Aarón Leonardo</dc:creator>
  <cp:lastModifiedBy>Valeria Sepúlveda</cp:lastModifiedBy>
  <cp:revision>2</cp:revision>
  <cp:lastPrinted>2025-06-18T16:06:00Z</cp:lastPrinted>
  <dcterms:created xsi:type="dcterms:W3CDTF">2026-06-30T13:38:00Z</dcterms:created>
  <dcterms:modified xsi:type="dcterms:W3CDTF">2026-06-30T13:38:00Z</dcterms:modified>
</cp:coreProperties>
</file>