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A32B809" w14:textId="5366D727" w:rsidR="008A0E5E" w:rsidRPr="00187ECC" w:rsidRDefault="008A0E5E" w:rsidP="008A0E5E">
      <w:pPr>
        <w:pBdr>
          <w:top w:val="nil"/>
          <w:left w:val="nil"/>
          <w:bottom w:val="nil"/>
          <w:right w:val="nil"/>
          <w:between w:val="nil"/>
        </w:pBdr>
        <w:spacing w:line="276" w:lineRule="auto"/>
        <w:jc w:val="center"/>
        <w:rPr>
          <w:rFonts w:ascii="Arial" w:eastAsia="Times New Roman" w:hAnsi="Arial" w:cs="Arial"/>
          <w:b/>
          <w:color w:val="000000"/>
          <w:sz w:val="24"/>
          <w:szCs w:val="24"/>
          <w:u w:val="single"/>
        </w:rPr>
      </w:pPr>
    </w:p>
    <w:p w14:paraId="54837EB6" w14:textId="77777777" w:rsidR="00187ECC" w:rsidRPr="00187ECC" w:rsidRDefault="00187ECC" w:rsidP="002B0BCD">
      <w:pPr>
        <w:pStyle w:val="Prrafodelista"/>
        <w:pBdr>
          <w:top w:val="nil"/>
          <w:left w:val="nil"/>
          <w:bottom w:val="nil"/>
          <w:right w:val="nil"/>
          <w:between w:val="nil"/>
        </w:pBdr>
        <w:spacing w:line="480" w:lineRule="auto"/>
        <w:ind w:left="1080"/>
        <w:jc w:val="center"/>
        <w:rPr>
          <w:rFonts w:ascii="Arial" w:eastAsia="Times New Roman" w:hAnsi="Arial" w:cs="Arial"/>
          <w:b/>
          <w:color w:val="000000"/>
          <w:sz w:val="24"/>
          <w:szCs w:val="24"/>
        </w:rPr>
      </w:pPr>
      <w:r w:rsidRPr="00187ECC">
        <w:rPr>
          <w:rFonts w:ascii="Arial" w:eastAsia="Times New Roman" w:hAnsi="Arial" w:cs="Arial"/>
          <w:b/>
          <w:color w:val="000000"/>
          <w:sz w:val="24"/>
          <w:szCs w:val="24"/>
        </w:rPr>
        <w:t>Observatorio Jurisprudencial</w:t>
      </w:r>
    </w:p>
    <w:p w14:paraId="47F10119" w14:textId="30E70B8F" w:rsidR="00DF28B0" w:rsidRPr="00EF08A9" w:rsidRDefault="00187ECC" w:rsidP="00187ECC">
      <w:pPr>
        <w:pStyle w:val="Prrafodelista"/>
        <w:pBdr>
          <w:top w:val="nil"/>
          <w:left w:val="nil"/>
          <w:bottom w:val="nil"/>
          <w:right w:val="nil"/>
          <w:between w:val="nil"/>
        </w:pBdr>
        <w:spacing w:line="276" w:lineRule="auto"/>
        <w:ind w:left="1080"/>
        <w:jc w:val="center"/>
        <w:rPr>
          <w:rFonts w:ascii="Arial" w:eastAsia="Times New Roman" w:hAnsi="Arial" w:cs="Arial"/>
          <w:color w:val="000000"/>
          <w:sz w:val="24"/>
          <w:szCs w:val="24"/>
        </w:rPr>
      </w:pPr>
      <w:r w:rsidRPr="00EF08A9">
        <w:rPr>
          <w:rFonts w:ascii="Arial" w:eastAsia="Times New Roman" w:hAnsi="Arial" w:cs="Arial"/>
          <w:color w:val="000000"/>
          <w:sz w:val="24"/>
          <w:szCs w:val="24"/>
        </w:rPr>
        <w:t>Programa Persona, Familias y Derecho</w:t>
      </w:r>
    </w:p>
    <w:p w14:paraId="2AB334A8" w14:textId="1199E81A" w:rsidR="002B0BCD" w:rsidRDefault="002B0BCD" w:rsidP="00187ECC">
      <w:pPr>
        <w:pStyle w:val="Prrafodelista"/>
        <w:pBdr>
          <w:top w:val="nil"/>
          <w:left w:val="nil"/>
          <w:bottom w:val="nil"/>
          <w:right w:val="nil"/>
          <w:between w:val="nil"/>
        </w:pBdr>
        <w:spacing w:line="276" w:lineRule="auto"/>
        <w:ind w:left="1080"/>
        <w:jc w:val="center"/>
        <w:rPr>
          <w:rFonts w:ascii="Arial" w:eastAsia="Times New Roman" w:hAnsi="Arial" w:cs="Arial"/>
          <w:b/>
          <w:color w:val="000000"/>
          <w:sz w:val="24"/>
          <w:szCs w:val="24"/>
          <w:lang w:val="es-ES_tradnl"/>
        </w:rPr>
      </w:pPr>
    </w:p>
    <w:tbl>
      <w:tblPr>
        <w:tblStyle w:val="Tablaconcuadrcula1"/>
        <w:tblpPr w:leftFromText="141" w:rightFromText="141" w:vertAnchor="text" w:horzAnchor="margin" w:tblpXSpec="center" w:tblpY="-54"/>
        <w:tblW w:w="0" w:type="auto"/>
        <w:tblLook w:val="04A0" w:firstRow="1" w:lastRow="0" w:firstColumn="1" w:lastColumn="0" w:noHBand="0" w:noVBand="1"/>
      </w:tblPr>
      <w:tblGrid>
        <w:gridCol w:w="4414"/>
        <w:gridCol w:w="4414"/>
      </w:tblGrid>
      <w:tr w:rsidR="002B0BCD" w:rsidRPr="002B0BCD" w14:paraId="3838E09C" w14:textId="77777777" w:rsidTr="00406B65">
        <w:tc>
          <w:tcPr>
            <w:tcW w:w="4414" w:type="dxa"/>
          </w:tcPr>
          <w:p w14:paraId="73C40EBF" w14:textId="77777777" w:rsidR="002B0BCD" w:rsidRPr="002B0BCD" w:rsidRDefault="002B0BCD" w:rsidP="002B0BCD">
            <w:pPr>
              <w:spacing w:line="276" w:lineRule="auto"/>
              <w:jc w:val="both"/>
              <w:rPr>
                <w:rFonts w:ascii="Arial" w:hAnsi="Arial" w:cs="Arial"/>
                <w:b/>
                <w:bCs/>
                <w:sz w:val="24"/>
                <w:lang w:val="es-ES_tradnl"/>
              </w:rPr>
            </w:pPr>
            <w:r w:rsidRPr="002B0BCD">
              <w:rPr>
                <w:rFonts w:ascii="Arial" w:hAnsi="Arial" w:cs="Arial"/>
                <w:b/>
                <w:bCs/>
                <w:sz w:val="24"/>
                <w:lang w:val="es-ES_tradnl"/>
              </w:rPr>
              <w:t>Tribunal</w:t>
            </w:r>
          </w:p>
        </w:tc>
        <w:tc>
          <w:tcPr>
            <w:tcW w:w="4414" w:type="dxa"/>
          </w:tcPr>
          <w:p w14:paraId="43769B84" w14:textId="3F647B69" w:rsidR="002B0BCD" w:rsidRPr="002B0BCD" w:rsidRDefault="00376694" w:rsidP="002B0BCD">
            <w:pPr>
              <w:spacing w:line="276" w:lineRule="auto"/>
              <w:jc w:val="both"/>
              <w:rPr>
                <w:rFonts w:ascii="Arial" w:hAnsi="Arial" w:cs="Arial"/>
                <w:sz w:val="24"/>
                <w:lang w:val="es-ES_tradnl"/>
              </w:rPr>
            </w:pPr>
            <w:r>
              <w:rPr>
                <w:rFonts w:ascii="Arial" w:hAnsi="Arial" w:cs="Arial"/>
                <w:sz w:val="24"/>
                <w:lang w:val="es-ES_tradnl"/>
              </w:rPr>
              <w:t>Corte Suprema</w:t>
            </w:r>
          </w:p>
        </w:tc>
      </w:tr>
      <w:tr w:rsidR="002B0BCD" w:rsidRPr="002B0BCD" w14:paraId="1E55DBD8" w14:textId="77777777" w:rsidTr="00406B65">
        <w:tc>
          <w:tcPr>
            <w:tcW w:w="4414" w:type="dxa"/>
          </w:tcPr>
          <w:p w14:paraId="790D8959" w14:textId="5EC86B72" w:rsidR="002B0BCD" w:rsidRPr="002B0BCD" w:rsidRDefault="002B0BCD" w:rsidP="002B0BCD">
            <w:pPr>
              <w:spacing w:line="276" w:lineRule="auto"/>
              <w:jc w:val="both"/>
              <w:rPr>
                <w:rFonts w:ascii="Arial" w:hAnsi="Arial" w:cs="Arial"/>
                <w:b/>
                <w:bCs/>
                <w:sz w:val="24"/>
                <w:lang w:val="es-ES_tradnl"/>
              </w:rPr>
            </w:pPr>
            <w:r w:rsidRPr="002B0BCD">
              <w:rPr>
                <w:rFonts w:ascii="Arial" w:hAnsi="Arial" w:cs="Arial"/>
                <w:b/>
                <w:bCs/>
                <w:sz w:val="24"/>
                <w:lang w:val="es-ES_tradnl"/>
              </w:rPr>
              <w:t>Rol</w:t>
            </w:r>
            <w:r>
              <w:rPr>
                <w:rFonts w:ascii="Arial" w:hAnsi="Arial" w:cs="Arial"/>
                <w:b/>
                <w:bCs/>
                <w:sz w:val="24"/>
                <w:lang w:val="es-ES_tradnl"/>
              </w:rPr>
              <w:t>/RIT</w:t>
            </w:r>
          </w:p>
        </w:tc>
        <w:tc>
          <w:tcPr>
            <w:tcW w:w="4414" w:type="dxa"/>
          </w:tcPr>
          <w:p w14:paraId="175B22E1" w14:textId="3EC00EEC" w:rsidR="002B0BCD" w:rsidRPr="002B0BCD" w:rsidRDefault="00F356E0" w:rsidP="002B0BCD">
            <w:pPr>
              <w:spacing w:line="276" w:lineRule="auto"/>
              <w:jc w:val="both"/>
              <w:rPr>
                <w:rFonts w:ascii="Arial" w:hAnsi="Arial" w:cs="Arial"/>
                <w:sz w:val="24"/>
                <w:lang w:val="es-ES_tradnl"/>
              </w:rPr>
            </w:pPr>
            <w:r>
              <w:rPr>
                <w:rFonts w:ascii="Arial" w:hAnsi="Arial" w:cs="Arial"/>
                <w:sz w:val="24"/>
                <w:lang w:val="es-ES_tradnl"/>
              </w:rPr>
              <w:t>167551</w:t>
            </w:r>
            <w:r w:rsidR="006107A2">
              <w:rPr>
                <w:rFonts w:ascii="Arial" w:hAnsi="Arial" w:cs="Arial"/>
                <w:sz w:val="24"/>
                <w:lang w:val="es-ES_tradnl"/>
              </w:rPr>
              <w:t>-2023</w:t>
            </w:r>
          </w:p>
        </w:tc>
      </w:tr>
      <w:tr w:rsidR="002B0BCD" w:rsidRPr="002B0BCD" w14:paraId="7448AAE8" w14:textId="77777777" w:rsidTr="00406B65">
        <w:tc>
          <w:tcPr>
            <w:tcW w:w="4414" w:type="dxa"/>
          </w:tcPr>
          <w:p w14:paraId="5EDFB998" w14:textId="77777777" w:rsidR="002B0BCD" w:rsidRPr="002B0BCD" w:rsidRDefault="002B0BCD" w:rsidP="002B0BCD">
            <w:pPr>
              <w:spacing w:line="276" w:lineRule="auto"/>
              <w:jc w:val="both"/>
              <w:rPr>
                <w:rFonts w:ascii="Arial" w:hAnsi="Arial" w:cs="Arial"/>
                <w:b/>
                <w:bCs/>
                <w:sz w:val="24"/>
                <w:lang w:val="es-ES_tradnl"/>
              </w:rPr>
            </w:pPr>
            <w:r w:rsidRPr="002B0BCD">
              <w:rPr>
                <w:rFonts w:ascii="Arial" w:hAnsi="Arial" w:cs="Arial"/>
                <w:b/>
                <w:bCs/>
                <w:sz w:val="24"/>
                <w:lang w:val="es-ES_tradnl"/>
              </w:rPr>
              <w:t>Fecha de ingreso</w:t>
            </w:r>
          </w:p>
        </w:tc>
        <w:tc>
          <w:tcPr>
            <w:tcW w:w="4414" w:type="dxa"/>
          </w:tcPr>
          <w:p w14:paraId="47DFEB0A" w14:textId="0CDF4D14" w:rsidR="002B0BCD" w:rsidRPr="002B0BCD" w:rsidRDefault="002B0BCD" w:rsidP="002B0BCD">
            <w:pPr>
              <w:spacing w:line="276" w:lineRule="auto"/>
              <w:jc w:val="both"/>
              <w:rPr>
                <w:rFonts w:ascii="Arial" w:hAnsi="Arial" w:cs="Arial"/>
                <w:sz w:val="24"/>
                <w:lang w:val="es-ES_tradnl"/>
              </w:rPr>
            </w:pPr>
            <w:r>
              <w:rPr>
                <w:rFonts w:ascii="Arial" w:hAnsi="Arial" w:cs="Arial"/>
                <w:sz w:val="24"/>
                <w:lang w:val="es-ES_tradnl"/>
              </w:rPr>
              <w:t>2 de noviembre de 2023</w:t>
            </w:r>
          </w:p>
        </w:tc>
      </w:tr>
      <w:tr w:rsidR="002B0BCD" w:rsidRPr="002B0BCD" w14:paraId="4E808922" w14:textId="77777777" w:rsidTr="00406B65">
        <w:tc>
          <w:tcPr>
            <w:tcW w:w="4414" w:type="dxa"/>
          </w:tcPr>
          <w:p w14:paraId="22D1830A" w14:textId="02921179" w:rsidR="002B0BCD" w:rsidRPr="002B0BCD" w:rsidRDefault="002B0BCD" w:rsidP="002B0BCD">
            <w:pPr>
              <w:tabs>
                <w:tab w:val="center" w:pos="2099"/>
              </w:tabs>
              <w:spacing w:line="276" w:lineRule="auto"/>
              <w:jc w:val="both"/>
              <w:rPr>
                <w:rFonts w:ascii="Arial" w:hAnsi="Arial" w:cs="Arial"/>
                <w:b/>
                <w:bCs/>
                <w:sz w:val="24"/>
                <w:lang w:val="es-ES_tradnl"/>
              </w:rPr>
            </w:pPr>
            <w:r w:rsidRPr="002B0BCD">
              <w:rPr>
                <w:rFonts w:ascii="Arial" w:hAnsi="Arial" w:cs="Arial"/>
                <w:b/>
                <w:bCs/>
                <w:sz w:val="24"/>
                <w:lang w:val="es-ES_tradnl"/>
              </w:rPr>
              <w:t>Recurso</w:t>
            </w:r>
            <w:r>
              <w:rPr>
                <w:rFonts w:ascii="Arial" w:hAnsi="Arial" w:cs="Arial"/>
                <w:b/>
                <w:bCs/>
                <w:sz w:val="24"/>
                <w:lang w:val="es-ES_tradnl"/>
              </w:rPr>
              <w:t>/Materia</w:t>
            </w:r>
            <w:r>
              <w:rPr>
                <w:rFonts w:ascii="Arial" w:hAnsi="Arial" w:cs="Arial"/>
                <w:b/>
                <w:bCs/>
                <w:sz w:val="24"/>
                <w:lang w:val="es-ES_tradnl"/>
              </w:rPr>
              <w:tab/>
            </w:r>
          </w:p>
        </w:tc>
        <w:tc>
          <w:tcPr>
            <w:tcW w:w="4414" w:type="dxa"/>
          </w:tcPr>
          <w:p w14:paraId="5A9CDABE" w14:textId="149491FB" w:rsidR="002B0BCD" w:rsidRPr="002B0BCD" w:rsidRDefault="00376694" w:rsidP="002B0BCD">
            <w:pPr>
              <w:spacing w:line="276" w:lineRule="auto"/>
              <w:jc w:val="both"/>
              <w:rPr>
                <w:rFonts w:ascii="Arial" w:hAnsi="Arial" w:cs="Arial"/>
                <w:sz w:val="24"/>
                <w:lang w:val="es-ES_tradnl"/>
              </w:rPr>
            </w:pPr>
            <w:r>
              <w:rPr>
                <w:rFonts w:ascii="Arial" w:eastAsia="Times New Roman" w:hAnsi="Arial" w:cs="Arial"/>
                <w:sz w:val="24"/>
              </w:rPr>
              <w:t>Recurso de casación en el fondo (susceptibilidad de adopción).</w:t>
            </w:r>
          </w:p>
        </w:tc>
      </w:tr>
      <w:tr w:rsidR="002B0BCD" w:rsidRPr="002B0BCD" w14:paraId="60A15779" w14:textId="77777777" w:rsidTr="00406B65">
        <w:tc>
          <w:tcPr>
            <w:tcW w:w="4414" w:type="dxa"/>
          </w:tcPr>
          <w:p w14:paraId="3419BC96" w14:textId="77777777" w:rsidR="002B0BCD" w:rsidRPr="002B0BCD" w:rsidRDefault="002B0BCD" w:rsidP="002B0BCD">
            <w:pPr>
              <w:spacing w:line="276" w:lineRule="auto"/>
              <w:jc w:val="both"/>
              <w:rPr>
                <w:rFonts w:ascii="Arial" w:hAnsi="Arial" w:cs="Arial"/>
                <w:b/>
                <w:bCs/>
                <w:sz w:val="24"/>
                <w:lang w:val="es-ES_tradnl"/>
              </w:rPr>
            </w:pPr>
            <w:r w:rsidRPr="002B0BCD">
              <w:rPr>
                <w:rFonts w:ascii="Arial" w:hAnsi="Arial" w:cs="Arial"/>
                <w:b/>
                <w:bCs/>
                <w:sz w:val="24"/>
                <w:lang w:val="es-ES_tradnl"/>
              </w:rPr>
              <w:t>Resultado</w:t>
            </w:r>
          </w:p>
        </w:tc>
        <w:tc>
          <w:tcPr>
            <w:tcW w:w="4414" w:type="dxa"/>
          </w:tcPr>
          <w:p w14:paraId="5A649B29" w14:textId="6A0D8B38" w:rsidR="002B0BCD" w:rsidRPr="002B0BCD" w:rsidRDefault="00376694" w:rsidP="002B0BCD">
            <w:pPr>
              <w:spacing w:line="276" w:lineRule="auto"/>
              <w:jc w:val="both"/>
              <w:rPr>
                <w:rFonts w:ascii="Arial" w:hAnsi="Arial" w:cs="Arial"/>
                <w:sz w:val="24"/>
                <w:lang w:val="es-ES_tradnl"/>
              </w:rPr>
            </w:pPr>
            <w:r>
              <w:rPr>
                <w:rFonts w:ascii="Arial" w:hAnsi="Arial" w:cs="Arial"/>
                <w:sz w:val="24"/>
                <w:lang w:val="es-ES_tradnl"/>
              </w:rPr>
              <w:t>Rechazado</w:t>
            </w:r>
          </w:p>
        </w:tc>
      </w:tr>
      <w:tr w:rsidR="002B0BCD" w:rsidRPr="002B0BCD" w14:paraId="4CC35AA2" w14:textId="77777777" w:rsidTr="00406B65">
        <w:tc>
          <w:tcPr>
            <w:tcW w:w="4414" w:type="dxa"/>
          </w:tcPr>
          <w:p w14:paraId="28A5A628" w14:textId="77777777" w:rsidR="002B0BCD" w:rsidRPr="002B0BCD" w:rsidRDefault="002B0BCD" w:rsidP="002B0BCD">
            <w:pPr>
              <w:spacing w:line="276" w:lineRule="auto"/>
              <w:jc w:val="both"/>
              <w:rPr>
                <w:rFonts w:ascii="Arial" w:hAnsi="Arial" w:cs="Arial"/>
                <w:b/>
                <w:bCs/>
                <w:sz w:val="24"/>
                <w:lang w:val="es-ES_tradnl"/>
              </w:rPr>
            </w:pPr>
            <w:r w:rsidRPr="002B0BCD">
              <w:rPr>
                <w:rFonts w:ascii="Arial" w:hAnsi="Arial" w:cs="Arial"/>
                <w:b/>
                <w:bCs/>
                <w:sz w:val="24"/>
                <w:lang w:val="es-ES_tradnl"/>
              </w:rPr>
              <w:t>Caratulado</w:t>
            </w:r>
          </w:p>
        </w:tc>
        <w:tc>
          <w:tcPr>
            <w:tcW w:w="4414" w:type="dxa"/>
          </w:tcPr>
          <w:p w14:paraId="75E42744" w14:textId="20048C24" w:rsidR="002B0BCD" w:rsidRPr="002B0BCD" w:rsidRDefault="006107A2" w:rsidP="002B0BCD">
            <w:pPr>
              <w:spacing w:line="276" w:lineRule="auto"/>
              <w:jc w:val="both"/>
              <w:rPr>
                <w:rFonts w:ascii="Arial" w:hAnsi="Arial" w:cs="Arial"/>
                <w:sz w:val="24"/>
                <w:lang w:val="es-ES_tradnl"/>
              </w:rPr>
            </w:pPr>
            <w:r>
              <w:rPr>
                <w:rFonts w:ascii="Arial" w:hAnsi="Arial" w:cs="Arial"/>
                <w:sz w:val="24"/>
                <w:lang w:val="es-ES_tradnl"/>
              </w:rPr>
              <w:t>ANONIMIZADO</w:t>
            </w:r>
          </w:p>
        </w:tc>
      </w:tr>
    </w:tbl>
    <w:p w14:paraId="5869EE8F" w14:textId="198FA07E" w:rsidR="002B0BCD" w:rsidRDefault="002B0BCD" w:rsidP="00187ECC">
      <w:pPr>
        <w:pStyle w:val="Prrafodelista"/>
        <w:pBdr>
          <w:top w:val="nil"/>
          <w:left w:val="nil"/>
          <w:bottom w:val="nil"/>
          <w:right w:val="nil"/>
          <w:between w:val="nil"/>
        </w:pBdr>
        <w:spacing w:line="276" w:lineRule="auto"/>
        <w:ind w:left="1080"/>
        <w:jc w:val="center"/>
        <w:rPr>
          <w:rFonts w:ascii="Arial" w:eastAsia="Times New Roman" w:hAnsi="Arial" w:cs="Arial"/>
          <w:b/>
          <w:color w:val="000000"/>
          <w:sz w:val="24"/>
          <w:szCs w:val="24"/>
          <w:lang w:val="es-ES_tradnl"/>
        </w:rPr>
      </w:pPr>
    </w:p>
    <w:p w14:paraId="7A9B6BF5" w14:textId="2E969740" w:rsidR="00376694" w:rsidRPr="00376694" w:rsidRDefault="00376694" w:rsidP="00376694">
      <w:pPr>
        <w:spacing w:line="360" w:lineRule="auto"/>
        <w:jc w:val="both"/>
        <w:rPr>
          <w:rFonts w:ascii="Arial" w:hAnsi="Arial" w:cs="Arial"/>
          <w:sz w:val="24"/>
          <w:szCs w:val="24"/>
          <w:lang w:val="es-ES_tradnl"/>
        </w:rPr>
      </w:pPr>
      <w:r w:rsidRPr="00376694">
        <w:rPr>
          <w:rFonts w:ascii="Arial" w:hAnsi="Arial" w:cs="Arial"/>
          <w:sz w:val="24"/>
          <w:szCs w:val="24"/>
          <w:lang w:val="es-ES_tradnl"/>
        </w:rPr>
        <w:t xml:space="preserve">El 2 de noviembre de 2023 la Cuarta Sala de la Corte Suprema rechazó </w:t>
      </w:r>
      <w:r w:rsidR="00406B65">
        <w:rPr>
          <w:rFonts w:ascii="Arial" w:hAnsi="Arial" w:cs="Arial"/>
          <w:sz w:val="24"/>
          <w:szCs w:val="24"/>
          <w:lang w:val="es-ES_tradnl"/>
        </w:rPr>
        <w:t xml:space="preserve">el </w:t>
      </w:r>
      <w:r w:rsidRPr="00376694">
        <w:rPr>
          <w:rFonts w:ascii="Arial" w:hAnsi="Arial" w:cs="Arial"/>
          <w:sz w:val="24"/>
          <w:szCs w:val="24"/>
          <w:lang w:val="es-ES_tradnl"/>
        </w:rPr>
        <w:t>recurso de casación en el fondo deducido contra</w:t>
      </w:r>
      <w:r w:rsidR="00406B65">
        <w:rPr>
          <w:rFonts w:ascii="Arial" w:hAnsi="Arial" w:cs="Arial"/>
          <w:sz w:val="24"/>
          <w:szCs w:val="24"/>
          <w:lang w:val="es-ES_tradnl"/>
        </w:rPr>
        <w:t xml:space="preserve"> la</w:t>
      </w:r>
      <w:r w:rsidRPr="00376694">
        <w:rPr>
          <w:rFonts w:ascii="Arial" w:hAnsi="Arial" w:cs="Arial"/>
          <w:sz w:val="24"/>
          <w:szCs w:val="24"/>
          <w:lang w:val="es-ES_tradnl"/>
        </w:rPr>
        <w:t xml:space="preserve"> sentencia dictada por el Juzgado de Familia de Viña del Mar en causa RIT A-8-2022, y confirmada por la Corte de Apelaciones de Valparaíso, que declaraba la susceptibilidad de adopción de una niña. Los recurrentes eran la madre de la niña y su abuelo materno.</w:t>
      </w:r>
    </w:p>
    <w:p w14:paraId="37899ADA" w14:textId="5ADB570D" w:rsidR="00376694" w:rsidRPr="00376694" w:rsidRDefault="00376694" w:rsidP="00376694">
      <w:pPr>
        <w:spacing w:line="360" w:lineRule="auto"/>
        <w:jc w:val="both"/>
        <w:rPr>
          <w:rFonts w:ascii="Arial" w:hAnsi="Arial" w:cs="Arial"/>
          <w:sz w:val="24"/>
          <w:szCs w:val="24"/>
          <w:lang w:val="es-ES_tradnl"/>
        </w:rPr>
      </w:pPr>
      <w:r w:rsidRPr="00376694">
        <w:rPr>
          <w:rFonts w:ascii="Arial" w:hAnsi="Arial" w:cs="Arial"/>
          <w:sz w:val="24"/>
          <w:szCs w:val="24"/>
          <w:lang w:val="es-ES_tradnl"/>
        </w:rPr>
        <w:t>El recurso de casación esgrime como argumento principal vulneraciones en la valoración de la prueba de la sana crítica, en concreto de la lógica, las máximas de experiencia y conocimientos científicamente afianza</w:t>
      </w:r>
      <w:r w:rsidR="00406B65">
        <w:rPr>
          <w:rFonts w:ascii="Arial" w:hAnsi="Arial" w:cs="Arial"/>
          <w:sz w:val="24"/>
          <w:szCs w:val="24"/>
          <w:lang w:val="es-ES_tradnl"/>
        </w:rPr>
        <w:t>dos. Lo anterior en base a que</w:t>
      </w:r>
      <w:r w:rsidRPr="00376694">
        <w:rPr>
          <w:rFonts w:ascii="Arial" w:hAnsi="Arial" w:cs="Arial"/>
          <w:sz w:val="24"/>
          <w:szCs w:val="24"/>
          <w:lang w:val="es-ES_tradnl"/>
        </w:rPr>
        <w:t xml:space="preserve"> la niña pertenecía a la cultura gitana, un hecho que los recurrentes consideran que la sentencia no tomó en consideración. </w:t>
      </w:r>
    </w:p>
    <w:p w14:paraId="350678FC" w14:textId="77777777" w:rsidR="00376694" w:rsidRPr="00376694" w:rsidRDefault="00376694" w:rsidP="00376694">
      <w:pPr>
        <w:spacing w:line="360" w:lineRule="auto"/>
        <w:jc w:val="both"/>
        <w:rPr>
          <w:rFonts w:ascii="Arial" w:hAnsi="Arial" w:cs="Arial"/>
          <w:sz w:val="24"/>
          <w:szCs w:val="24"/>
          <w:lang w:val="es-ES_tradnl"/>
        </w:rPr>
      </w:pPr>
      <w:r w:rsidRPr="00376694">
        <w:rPr>
          <w:rFonts w:ascii="Arial" w:hAnsi="Arial" w:cs="Arial"/>
          <w:sz w:val="24"/>
          <w:szCs w:val="24"/>
          <w:lang w:val="es-ES_tradnl"/>
        </w:rPr>
        <w:t xml:space="preserve">Afirman que la cultura gitana tiene costumbres ancestrales propias y modalidades de vida que difieren de los chilenos. Asimismo, que el pueblo nómade no cuenta con suficientes medios económicos para vivir como lo hacen los chilenos, sin embargo, dicha pobreza no es un impedimento para que puedan cuidar y mantener a la niña. </w:t>
      </w:r>
    </w:p>
    <w:p w14:paraId="545C2294" w14:textId="77777777" w:rsidR="00376694" w:rsidRPr="00376694" w:rsidRDefault="00376694" w:rsidP="00376694">
      <w:pPr>
        <w:spacing w:line="360" w:lineRule="auto"/>
        <w:jc w:val="both"/>
        <w:rPr>
          <w:rFonts w:ascii="Arial" w:hAnsi="Arial" w:cs="Arial"/>
          <w:sz w:val="24"/>
          <w:szCs w:val="24"/>
          <w:lang w:val="es-ES_tradnl"/>
        </w:rPr>
      </w:pPr>
      <w:r w:rsidRPr="00376694">
        <w:rPr>
          <w:rFonts w:ascii="Arial" w:hAnsi="Arial" w:cs="Arial"/>
          <w:sz w:val="24"/>
          <w:szCs w:val="24"/>
          <w:lang w:val="es-ES_tradnl"/>
        </w:rPr>
        <w:lastRenderedPageBreak/>
        <w:t>Profundizan estableciendo que el fallo de primera instancia vulnera el derecho a la identidad de la niña, debido a que pertenece a una minoría étnica y que dicho fallo la priva de su identidad.</w:t>
      </w:r>
    </w:p>
    <w:p w14:paraId="5339A233" w14:textId="04DCEA03" w:rsidR="00376694" w:rsidRDefault="00376694" w:rsidP="00376694">
      <w:pPr>
        <w:spacing w:line="360" w:lineRule="auto"/>
        <w:jc w:val="both"/>
        <w:rPr>
          <w:rFonts w:ascii="Arial" w:hAnsi="Arial" w:cs="Arial"/>
          <w:sz w:val="24"/>
          <w:szCs w:val="24"/>
          <w:lang w:val="es-ES_tradnl"/>
        </w:rPr>
      </w:pPr>
      <w:r w:rsidRPr="00376694">
        <w:rPr>
          <w:rFonts w:ascii="Arial" w:hAnsi="Arial" w:cs="Arial"/>
          <w:sz w:val="24"/>
          <w:szCs w:val="24"/>
          <w:lang w:val="es-ES_tradnl"/>
        </w:rPr>
        <w:t xml:space="preserve">La Excelentísima Corte Suprema </w:t>
      </w:r>
      <w:r w:rsidR="00406B65">
        <w:rPr>
          <w:rFonts w:ascii="Arial" w:hAnsi="Arial" w:cs="Arial"/>
          <w:sz w:val="24"/>
          <w:szCs w:val="24"/>
          <w:lang w:val="es-ES_tradnl"/>
        </w:rPr>
        <w:t xml:space="preserve">consideró </w:t>
      </w:r>
      <w:r w:rsidRPr="00376694">
        <w:rPr>
          <w:rFonts w:ascii="Arial" w:hAnsi="Arial" w:cs="Arial"/>
          <w:sz w:val="24"/>
          <w:szCs w:val="24"/>
          <w:lang w:val="es-ES_tradnl"/>
        </w:rPr>
        <w:t xml:space="preserve">que la sentencia impugnada acogió la demanda de susceptibilidad debido a que la niña experimento maltrato por parte de su madre, fue expuesta a drogas desde una temprana edad, no tenía sus controles médicos al día y no recibió visitas por parte de su familia durante el período de un año. Adicionalmente, tanto la madre como el abuelo materno no </w:t>
      </w:r>
      <w:r w:rsidR="00406B65" w:rsidRPr="00376694">
        <w:rPr>
          <w:rFonts w:ascii="Arial" w:hAnsi="Arial" w:cs="Arial"/>
          <w:sz w:val="24"/>
          <w:szCs w:val="24"/>
          <w:lang w:val="es-ES_tradnl"/>
        </w:rPr>
        <w:t>adhi</w:t>
      </w:r>
      <w:r w:rsidR="00406B65">
        <w:rPr>
          <w:rFonts w:ascii="Arial" w:hAnsi="Arial" w:cs="Arial"/>
          <w:sz w:val="24"/>
          <w:szCs w:val="24"/>
          <w:lang w:val="es-ES_tradnl"/>
        </w:rPr>
        <w:t>ri</w:t>
      </w:r>
      <w:r w:rsidR="00406B65" w:rsidRPr="00376694">
        <w:rPr>
          <w:rFonts w:ascii="Arial" w:hAnsi="Arial" w:cs="Arial"/>
          <w:sz w:val="24"/>
          <w:szCs w:val="24"/>
          <w:lang w:val="es-ES_tradnl"/>
        </w:rPr>
        <w:t>eron</w:t>
      </w:r>
      <w:r w:rsidRPr="00376694">
        <w:rPr>
          <w:rFonts w:ascii="Arial" w:hAnsi="Arial" w:cs="Arial"/>
          <w:sz w:val="24"/>
          <w:szCs w:val="24"/>
          <w:lang w:val="es-ES_tradnl"/>
        </w:rPr>
        <w:t xml:space="preserve"> a los programas que fueron derivados y ningún miembro de la familia extensa manifestó su deseo de cuidar a la niña</w:t>
      </w:r>
      <w:r>
        <w:rPr>
          <w:rFonts w:ascii="Arial" w:hAnsi="Arial" w:cs="Arial"/>
          <w:sz w:val="24"/>
          <w:szCs w:val="24"/>
          <w:lang w:val="es-ES_tradnl"/>
        </w:rPr>
        <w:t>.</w:t>
      </w:r>
    </w:p>
    <w:p w14:paraId="3F438FE8" w14:textId="3B51BDDC" w:rsidR="00376694" w:rsidRPr="00376694" w:rsidRDefault="00376694" w:rsidP="00376694">
      <w:pPr>
        <w:spacing w:line="360" w:lineRule="auto"/>
        <w:jc w:val="both"/>
        <w:rPr>
          <w:rFonts w:ascii="Arial" w:hAnsi="Arial" w:cs="Arial"/>
          <w:sz w:val="24"/>
          <w:szCs w:val="24"/>
          <w:lang w:val="es-ES_tradnl"/>
        </w:rPr>
      </w:pPr>
      <w:r w:rsidRPr="00376694">
        <w:rPr>
          <w:rFonts w:ascii="Arial" w:hAnsi="Arial" w:cs="Arial"/>
          <w:sz w:val="24"/>
          <w:szCs w:val="24"/>
          <w:lang w:val="es-ES_tradnl"/>
        </w:rPr>
        <w:t xml:space="preserve">Por ende, el tribunal rechaza el argumento medular del recurso de casación que afirmaba </w:t>
      </w:r>
      <w:r w:rsidR="00406B65" w:rsidRPr="00376694">
        <w:rPr>
          <w:rFonts w:ascii="Arial" w:hAnsi="Arial" w:cs="Arial"/>
          <w:sz w:val="24"/>
          <w:szCs w:val="24"/>
          <w:lang w:val="es-ES_tradnl"/>
        </w:rPr>
        <w:t>que,</w:t>
      </w:r>
      <w:r w:rsidRPr="00376694">
        <w:rPr>
          <w:rFonts w:ascii="Arial" w:hAnsi="Arial" w:cs="Arial"/>
          <w:sz w:val="24"/>
          <w:szCs w:val="24"/>
          <w:lang w:val="es-ES_tradnl"/>
        </w:rPr>
        <w:t xml:space="preserve"> al dictarse la sentencia de primera instancia, se había vulnerado la valoración de la prueba, la cual en dicho ejercicio no había respetado las reglas de la sana crítica y se había basado en el mero hecho que la costumbre gitana era distinta a la chilena. </w:t>
      </w:r>
    </w:p>
    <w:p w14:paraId="474B4825" w14:textId="2B1C2D17" w:rsidR="00376694" w:rsidRPr="00376694" w:rsidRDefault="00376694" w:rsidP="00376694">
      <w:pPr>
        <w:spacing w:line="360" w:lineRule="auto"/>
        <w:jc w:val="both"/>
        <w:rPr>
          <w:rFonts w:ascii="Arial" w:hAnsi="Arial" w:cs="Arial"/>
          <w:sz w:val="24"/>
          <w:szCs w:val="24"/>
          <w:lang w:val="es-ES_tradnl"/>
        </w:rPr>
      </w:pPr>
      <w:r w:rsidRPr="00376694">
        <w:rPr>
          <w:rFonts w:ascii="Arial" w:hAnsi="Arial" w:cs="Arial"/>
          <w:sz w:val="24"/>
          <w:szCs w:val="24"/>
          <w:lang w:val="es-ES_tradnl"/>
        </w:rPr>
        <w:t>En consecuencia, tanto la madre como el abuelo materno les afecta la ca</w:t>
      </w:r>
      <w:r w:rsidR="00406B65">
        <w:rPr>
          <w:rFonts w:ascii="Arial" w:hAnsi="Arial" w:cs="Arial"/>
          <w:sz w:val="24"/>
          <w:szCs w:val="24"/>
          <w:lang w:val="es-ES_tradnl"/>
        </w:rPr>
        <w:t>usal</w:t>
      </w:r>
      <w:r w:rsidRPr="00376694">
        <w:rPr>
          <w:rFonts w:ascii="Arial" w:hAnsi="Arial" w:cs="Arial"/>
          <w:sz w:val="24"/>
          <w:szCs w:val="24"/>
          <w:lang w:val="es-ES_tradnl"/>
        </w:rPr>
        <w:t xml:space="preserve"> de inhabilidad del artículo 12 N°1 de la Ley </w:t>
      </w:r>
      <w:r w:rsidR="00406B65">
        <w:rPr>
          <w:rFonts w:ascii="Arial" w:hAnsi="Arial" w:cs="Arial"/>
          <w:sz w:val="24"/>
          <w:szCs w:val="24"/>
          <w:lang w:val="es-ES_tradnl"/>
        </w:rPr>
        <w:t>N°19.620, al no haber velado</w:t>
      </w:r>
      <w:r w:rsidRPr="00376694">
        <w:rPr>
          <w:rFonts w:ascii="Arial" w:hAnsi="Arial" w:cs="Arial"/>
          <w:sz w:val="24"/>
          <w:szCs w:val="24"/>
          <w:lang w:val="es-ES_tradnl"/>
        </w:rPr>
        <w:t xml:space="preserve"> en la forma debida por la crianza y cuidado personal de la niña, y el artículo 12 N°2 </w:t>
      </w:r>
      <w:r w:rsidR="00406B65">
        <w:rPr>
          <w:rFonts w:ascii="Arial" w:hAnsi="Arial" w:cs="Arial"/>
          <w:sz w:val="24"/>
          <w:szCs w:val="24"/>
          <w:lang w:val="es-ES_tradnl"/>
        </w:rPr>
        <w:t xml:space="preserve">del mismo cuerpo legal </w:t>
      </w:r>
      <w:bookmarkStart w:id="0" w:name="_GoBack"/>
      <w:bookmarkEnd w:id="0"/>
      <w:r w:rsidRPr="00376694">
        <w:rPr>
          <w:rFonts w:ascii="Arial" w:hAnsi="Arial" w:cs="Arial"/>
          <w:sz w:val="24"/>
          <w:szCs w:val="24"/>
          <w:lang w:val="es-ES_tradnl"/>
        </w:rPr>
        <w:t xml:space="preserve">por no haber proporcionado atención ni personal ni económica durante un año. </w:t>
      </w:r>
    </w:p>
    <w:p w14:paraId="05984C19" w14:textId="4C0FFF00" w:rsidR="00DF28B0" w:rsidRPr="00376694" w:rsidRDefault="00DF28B0" w:rsidP="00110D81">
      <w:pPr>
        <w:jc w:val="both"/>
        <w:rPr>
          <w:rFonts w:ascii="Arial" w:eastAsia="Times New Roman" w:hAnsi="Arial" w:cs="Arial"/>
          <w:b/>
          <w:color w:val="000000"/>
          <w:sz w:val="24"/>
          <w:szCs w:val="24"/>
          <w:lang w:val="es-ES_tradnl"/>
        </w:rPr>
      </w:pPr>
    </w:p>
    <w:sectPr w:rsidR="00DF28B0" w:rsidRPr="00376694" w:rsidSect="004E0BFE">
      <w:headerReference w:type="default" r:id="rId9"/>
      <w:footerReference w:type="even" r:id="rId10"/>
      <w:footerReference w:type="default" r:id="rId11"/>
      <w:pgSz w:w="12240" w:h="15840"/>
      <w:pgMar w:top="1418" w:right="1418" w:bottom="1418" w:left="1418" w:header="708" w:footer="708" w:gutter="0"/>
      <w:pgNumType w:start="1"/>
      <w:cols w:space="720"/>
      <w:docGrid w:linePitch="299"/>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F14823E" w14:textId="77777777" w:rsidR="00AF46CA" w:rsidRDefault="00AF46CA" w:rsidP="00685413">
      <w:pPr>
        <w:spacing w:after="0" w:line="240" w:lineRule="auto"/>
      </w:pPr>
      <w:r>
        <w:separator/>
      </w:r>
    </w:p>
  </w:endnote>
  <w:endnote w:type="continuationSeparator" w:id="0">
    <w:p w14:paraId="65B15A86" w14:textId="77777777" w:rsidR="00AF46CA" w:rsidRDefault="00AF46CA" w:rsidP="0068541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Georgia">
    <w:panose1 w:val="02040502050405020303"/>
    <w:charset w:val="00"/>
    <w:family w:val="roman"/>
    <w:pitch w:val="variable"/>
    <w:sig w:usb0="00000287" w:usb1="00000000" w:usb2="00000000" w:usb3="00000000" w:csb0="0000009F" w:csb1="00000000"/>
  </w:font>
  <w:font w:name="Segoe UI">
    <w:panose1 w:val="020B0502040204020203"/>
    <w:charset w:val="00"/>
    <w:family w:val="swiss"/>
    <w:pitch w:val="variable"/>
    <w:sig w:usb0="E4002EFF" w:usb1="C000E47F" w:usb2="00000009" w:usb3="00000000" w:csb0="000001FF"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Style w:val="Nmerodepgina"/>
      </w:rPr>
      <w:id w:val="-687147321"/>
      <w:docPartObj>
        <w:docPartGallery w:val="Page Numbers (Bottom of Page)"/>
        <w:docPartUnique/>
      </w:docPartObj>
    </w:sdtPr>
    <w:sdtEndPr>
      <w:rPr>
        <w:rStyle w:val="Nmerodepgina"/>
      </w:rPr>
    </w:sdtEndPr>
    <w:sdtContent>
      <w:p w14:paraId="6068538F" w14:textId="34ABE6C6" w:rsidR="00207B39" w:rsidRDefault="00207B39" w:rsidP="009379E6">
        <w:pPr>
          <w:pStyle w:val="Piedepgina"/>
          <w:framePr w:wrap="none" w:vAnchor="text" w:hAnchor="margin" w:xAlign="right" w:y="1"/>
          <w:rPr>
            <w:rStyle w:val="Nmerodepgina"/>
          </w:rPr>
        </w:pPr>
        <w:r>
          <w:rPr>
            <w:rStyle w:val="Nmerodepgina"/>
          </w:rPr>
          <w:fldChar w:fldCharType="begin"/>
        </w:r>
        <w:r>
          <w:rPr>
            <w:rStyle w:val="Nmerodepgina"/>
          </w:rPr>
          <w:instrText xml:space="preserve"> PAGE </w:instrText>
        </w:r>
        <w:r>
          <w:rPr>
            <w:rStyle w:val="Nmerodepgina"/>
          </w:rPr>
          <w:fldChar w:fldCharType="end"/>
        </w:r>
      </w:p>
    </w:sdtContent>
  </w:sdt>
  <w:p w14:paraId="1CB17F2B" w14:textId="77777777" w:rsidR="00207B39" w:rsidRDefault="00207B39" w:rsidP="002B0BCD">
    <w:pPr>
      <w:pStyle w:val="Piedepgina"/>
      <w:ind w:right="360"/>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Style w:val="Nmerodepgina"/>
      </w:rPr>
      <w:id w:val="-543059073"/>
      <w:docPartObj>
        <w:docPartGallery w:val="Page Numbers (Bottom of Page)"/>
        <w:docPartUnique/>
      </w:docPartObj>
    </w:sdtPr>
    <w:sdtEndPr>
      <w:rPr>
        <w:rStyle w:val="Nmerodepgina"/>
      </w:rPr>
    </w:sdtEndPr>
    <w:sdtContent>
      <w:p w14:paraId="40A6145D" w14:textId="036EAE21" w:rsidR="00207B39" w:rsidRDefault="00207B39" w:rsidP="009379E6">
        <w:pPr>
          <w:pStyle w:val="Piedepgina"/>
          <w:framePr w:wrap="none" w:vAnchor="text" w:hAnchor="margin" w:xAlign="right" w:y="1"/>
          <w:rPr>
            <w:rStyle w:val="Nmerodepgina"/>
          </w:rPr>
        </w:pPr>
        <w:r>
          <w:rPr>
            <w:rStyle w:val="Nmerodepgina"/>
          </w:rPr>
          <w:fldChar w:fldCharType="begin"/>
        </w:r>
        <w:r>
          <w:rPr>
            <w:rStyle w:val="Nmerodepgina"/>
          </w:rPr>
          <w:instrText xml:space="preserve"> PAGE </w:instrText>
        </w:r>
        <w:r>
          <w:rPr>
            <w:rStyle w:val="Nmerodepgina"/>
          </w:rPr>
          <w:fldChar w:fldCharType="separate"/>
        </w:r>
        <w:r w:rsidR="00406B65">
          <w:rPr>
            <w:rStyle w:val="Nmerodepgina"/>
            <w:noProof/>
          </w:rPr>
          <w:t>1</w:t>
        </w:r>
        <w:r>
          <w:rPr>
            <w:rStyle w:val="Nmerodepgina"/>
          </w:rPr>
          <w:fldChar w:fldCharType="end"/>
        </w:r>
      </w:p>
    </w:sdtContent>
  </w:sdt>
  <w:p w14:paraId="0732BDC0" w14:textId="77777777" w:rsidR="00207B39" w:rsidRDefault="00207B39" w:rsidP="002B0BCD">
    <w:pPr>
      <w:pStyle w:val="Piedepgina"/>
      <w:ind w:right="360"/>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C11BEA7" w14:textId="77777777" w:rsidR="00AF46CA" w:rsidRDefault="00AF46CA" w:rsidP="00685413">
      <w:pPr>
        <w:spacing w:after="0" w:line="240" w:lineRule="auto"/>
      </w:pPr>
      <w:r>
        <w:separator/>
      </w:r>
    </w:p>
  </w:footnote>
  <w:footnote w:type="continuationSeparator" w:id="0">
    <w:p w14:paraId="4D5C6F47" w14:textId="77777777" w:rsidR="00AF46CA" w:rsidRDefault="00AF46CA" w:rsidP="00685413">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2BDF291" w14:textId="17955A17" w:rsidR="00A37F1C" w:rsidRDefault="00985681" w:rsidP="00406B65">
    <w:pPr>
      <w:pStyle w:val="Encabezado"/>
    </w:pPr>
    <w:r>
      <w:rPr>
        <w:rFonts w:ascii="Times New Roman" w:hAnsi="Times New Roman" w:cs="Times New Roman"/>
        <w:i/>
        <w:iCs/>
        <w:sz w:val="20"/>
        <w:szCs w:val="20"/>
      </w:rPr>
      <w:tab/>
    </w:r>
    <w:r w:rsidR="008A0E5E">
      <w:rPr>
        <w:rFonts w:ascii="Times New Roman" w:hAnsi="Times New Roman" w:cs="Times New Roman"/>
        <w:i/>
        <w:iCs/>
        <w:sz w:val="20"/>
        <w:szCs w:val="20"/>
      </w:rPr>
      <w:tab/>
    </w:r>
    <w:r w:rsidR="00EF08A9">
      <w:rPr>
        <w:noProof/>
        <w:lang w:val="es-CL"/>
      </w:rPr>
      <w:drawing>
        <wp:inline distT="0" distB="0" distL="0" distR="0" wp14:anchorId="55728B6E" wp14:editId="265BE523">
          <wp:extent cx="993775" cy="1120775"/>
          <wp:effectExtent l="0" t="0" r="0" b="3175"/>
          <wp:docPr id="2" name="image2.png" descr="Imagen que contiene Texto&#10;&#10;Descripción generada automáticamente"/>
          <wp:cNvGraphicFramePr/>
          <a:graphic xmlns:a="http://schemas.openxmlformats.org/drawingml/2006/main">
            <a:graphicData uri="http://schemas.openxmlformats.org/drawingml/2006/picture">
              <pic:pic xmlns:pic="http://schemas.openxmlformats.org/drawingml/2006/picture">
                <pic:nvPicPr>
                  <pic:cNvPr id="2" name="image2.png" descr="Imagen que contiene Texto&#10;&#10;Descripción generada automáticamente"/>
                  <pic:cNvPicPr/>
                </pic:nvPicPr>
                <pic:blipFill>
                  <a:blip r:embed="rId1"/>
                  <a:srcRect/>
                  <a:stretch>
                    <a:fillRect/>
                  </a:stretch>
                </pic:blipFill>
                <pic:spPr>
                  <a:xfrm>
                    <a:off x="0" y="0"/>
                    <a:ext cx="993775" cy="1120775"/>
                  </a:xfrm>
                  <a:prstGeom prst="rect">
                    <a:avLst/>
                  </a:prstGeom>
                  <a:ln/>
                </pic:spPr>
              </pic:pic>
            </a:graphicData>
          </a:graphic>
        </wp:inline>
      </w:drawing>
    </w:r>
  </w:p>
  <w:p w14:paraId="7B411028" w14:textId="77777777" w:rsidR="00A37F1C" w:rsidRPr="00985681" w:rsidRDefault="00A37F1C">
    <w:pPr>
      <w:pStyle w:val="Encabezado"/>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7E75711"/>
    <w:multiLevelType w:val="multilevel"/>
    <w:tmpl w:val="DDAEDC4C"/>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 w15:restartNumberingAfterBreak="0">
    <w:nsid w:val="3B031901"/>
    <w:multiLevelType w:val="multilevel"/>
    <w:tmpl w:val="01962EB4"/>
    <w:lvl w:ilvl="0">
      <w:start w:val="1"/>
      <w:numFmt w:val="upperRoman"/>
      <w:lvlText w:val="%1."/>
      <w:lvlJc w:val="left"/>
      <w:pPr>
        <w:ind w:left="1080" w:hanging="72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 w15:restartNumberingAfterBreak="0">
    <w:nsid w:val="64927E27"/>
    <w:multiLevelType w:val="hybridMultilevel"/>
    <w:tmpl w:val="724AE208"/>
    <w:lvl w:ilvl="0" w:tplc="4C141678">
      <w:start w:val="1"/>
      <w:numFmt w:val="upperRoman"/>
      <w:lvlText w:val="%1."/>
      <w:lvlJc w:val="left"/>
      <w:pPr>
        <w:ind w:left="1080" w:hanging="72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proofState w:spelling="clean" w:grammar="clean"/>
  <w:defaultTabStop w:val="720"/>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F28B0"/>
    <w:rsid w:val="000D6208"/>
    <w:rsid w:val="00110D81"/>
    <w:rsid w:val="00187ECC"/>
    <w:rsid w:val="00207B39"/>
    <w:rsid w:val="002B0BCD"/>
    <w:rsid w:val="00376694"/>
    <w:rsid w:val="00406B65"/>
    <w:rsid w:val="004563EC"/>
    <w:rsid w:val="00475BC2"/>
    <w:rsid w:val="004E0BFE"/>
    <w:rsid w:val="00521D3C"/>
    <w:rsid w:val="006107A2"/>
    <w:rsid w:val="0063260D"/>
    <w:rsid w:val="00685413"/>
    <w:rsid w:val="00830821"/>
    <w:rsid w:val="00834DF0"/>
    <w:rsid w:val="008A0E5E"/>
    <w:rsid w:val="009018CA"/>
    <w:rsid w:val="00985681"/>
    <w:rsid w:val="00A37F1C"/>
    <w:rsid w:val="00AF46CA"/>
    <w:rsid w:val="00B7199C"/>
    <w:rsid w:val="00D013B0"/>
    <w:rsid w:val="00DF28B0"/>
    <w:rsid w:val="00E96AFC"/>
    <w:rsid w:val="00EF08A9"/>
    <w:rsid w:val="00F356E0"/>
    <w:rsid w:val="00F414FF"/>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229CAA8"/>
  <w15:docId w15:val="{67D1E08D-AE24-4F51-8067-C270D660EEC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Calibri"/>
        <w:sz w:val="22"/>
        <w:szCs w:val="22"/>
        <w:lang w:val="es-ES" w:eastAsia="es-CL"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Ttulo1">
    <w:name w:val="heading 1"/>
    <w:basedOn w:val="Normal"/>
    <w:next w:val="Normal"/>
    <w:uiPriority w:val="9"/>
    <w:qFormat/>
    <w:pPr>
      <w:keepNext/>
      <w:keepLines/>
      <w:spacing w:before="480" w:after="120"/>
      <w:outlineLvl w:val="0"/>
    </w:pPr>
    <w:rPr>
      <w:b/>
      <w:sz w:val="48"/>
      <w:szCs w:val="48"/>
    </w:rPr>
  </w:style>
  <w:style w:type="paragraph" w:styleId="Ttulo2">
    <w:name w:val="heading 2"/>
    <w:basedOn w:val="Normal"/>
    <w:next w:val="Normal"/>
    <w:uiPriority w:val="9"/>
    <w:semiHidden/>
    <w:unhideWhenUsed/>
    <w:qFormat/>
    <w:pPr>
      <w:keepNext/>
      <w:keepLines/>
      <w:spacing w:before="360" w:after="80"/>
      <w:outlineLvl w:val="1"/>
    </w:pPr>
    <w:rPr>
      <w:b/>
      <w:sz w:val="36"/>
      <w:szCs w:val="36"/>
    </w:rPr>
  </w:style>
  <w:style w:type="paragraph" w:styleId="Ttulo3">
    <w:name w:val="heading 3"/>
    <w:basedOn w:val="Normal"/>
    <w:next w:val="Normal"/>
    <w:uiPriority w:val="9"/>
    <w:semiHidden/>
    <w:unhideWhenUsed/>
    <w:qFormat/>
    <w:pPr>
      <w:keepNext/>
      <w:keepLines/>
      <w:spacing w:before="280" w:after="80"/>
      <w:outlineLvl w:val="2"/>
    </w:pPr>
    <w:rPr>
      <w:b/>
      <w:sz w:val="28"/>
      <w:szCs w:val="28"/>
    </w:rPr>
  </w:style>
  <w:style w:type="paragraph" w:styleId="Ttulo4">
    <w:name w:val="heading 4"/>
    <w:basedOn w:val="Normal"/>
    <w:next w:val="Normal"/>
    <w:uiPriority w:val="9"/>
    <w:semiHidden/>
    <w:unhideWhenUsed/>
    <w:qFormat/>
    <w:pPr>
      <w:keepNext/>
      <w:keepLines/>
      <w:spacing w:before="240" w:after="40"/>
      <w:outlineLvl w:val="3"/>
    </w:pPr>
    <w:rPr>
      <w:b/>
      <w:sz w:val="24"/>
      <w:szCs w:val="24"/>
    </w:rPr>
  </w:style>
  <w:style w:type="paragraph" w:styleId="Ttulo5">
    <w:name w:val="heading 5"/>
    <w:basedOn w:val="Normal"/>
    <w:next w:val="Normal"/>
    <w:uiPriority w:val="9"/>
    <w:semiHidden/>
    <w:unhideWhenUsed/>
    <w:qFormat/>
    <w:pPr>
      <w:keepNext/>
      <w:keepLines/>
      <w:spacing w:before="220" w:after="40"/>
      <w:outlineLvl w:val="4"/>
    </w:pPr>
    <w:rPr>
      <w:b/>
    </w:rPr>
  </w:style>
  <w:style w:type="paragraph" w:styleId="Ttulo6">
    <w:name w:val="heading 6"/>
    <w:basedOn w:val="Normal"/>
    <w:next w:val="Normal"/>
    <w:uiPriority w:val="9"/>
    <w:semiHidden/>
    <w:unhideWhenUsed/>
    <w:qFormat/>
    <w:pPr>
      <w:keepNext/>
      <w:keepLines/>
      <w:spacing w:before="200" w:after="40"/>
      <w:outlineLvl w:val="5"/>
    </w:pPr>
    <w:rPr>
      <w:b/>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tulo">
    <w:name w:val="Title"/>
    <w:basedOn w:val="Normal"/>
    <w:next w:val="Normal"/>
    <w:uiPriority w:val="10"/>
    <w:qFormat/>
    <w:pPr>
      <w:keepNext/>
      <w:keepLines/>
      <w:spacing w:before="480" w:after="120"/>
    </w:pPr>
    <w:rPr>
      <w:b/>
      <w:sz w:val="72"/>
      <w:szCs w:val="72"/>
    </w:rPr>
  </w:style>
  <w:style w:type="paragraph" w:styleId="Prrafodelista">
    <w:name w:val="List Paragraph"/>
    <w:basedOn w:val="Normal"/>
    <w:uiPriority w:val="34"/>
    <w:qFormat/>
    <w:rsid w:val="00C965F1"/>
    <w:pPr>
      <w:ind w:left="720"/>
      <w:contextualSpacing/>
    </w:pPr>
  </w:style>
  <w:style w:type="table" w:styleId="Tablaconcuadrcula">
    <w:name w:val="Table Grid"/>
    <w:basedOn w:val="Tablanormal"/>
    <w:uiPriority w:val="39"/>
    <w:rsid w:val="00C965F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ubttulo">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table" w:customStyle="1" w:styleId="a">
    <w:basedOn w:val="TableNormal"/>
    <w:pPr>
      <w:spacing w:after="0" w:line="240" w:lineRule="auto"/>
    </w:pPr>
    <w:tblPr>
      <w:tblStyleRowBandSize w:val="1"/>
      <w:tblStyleColBandSize w:val="1"/>
      <w:tblCellMar>
        <w:left w:w="108" w:type="dxa"/>
        <w:right w:w="108" w:type="dxa"/>
      </w:tblCellMar>
    </w:tblPr>
  </w:style>
  <w:style w:type="table" w:customStyle="1" w:styleId="a0">
    <w:basedOn w:val="TableNormal"/>
    <w:pPr>
      <w:spacing w:after="0" w:line="240" w:lineRule="auto"/>
    </w:pPr>
    <w:tblPr>
      <w:tblStyleRowBandSize w:val="1"/>
      <w:tblStyleColBandSize w:val="1"/>
      <w:tblCellMar>
        <w:left w:w="108" w:type="dxa"/>
        <w:right w:w="108" w:type="dxa"/>
      </w:tblCellMar>
    </w:tblPr>
  </w:style>
  <w:style w:type="paragraph" w:styleId="Encabezado">
    <w:name w:val="header"/>
    <w:basedOn w:val="Normal"/>
    <w:link w:val="EncabezadoCar"/>
    <w:uiPriority w:val="99"/>
    <w:unhideWhenUsed/>
    <w:rsid w:val="00685413"/>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685413"/>
  </w:style>
  <w:style w:type="paragraph" w:styleId="Piedepgina">
    <w:name w:val="footer"/>
    <w:basedOn w:val="Normal"/>
    <w:link w:val="PiedepginaCar"/>
    <w:uiPriority w:val="99"/>
    <w:unhideWhenUsed/>
    <w:rsid w:val="00685413"/>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685413"/>
  </w:style>
  <w:style w:type="character" w:styleId="Refdecomentario">
    <w:name w:val="annotation reference"/>
    <w:basedOn w:val="Fuentedeprrafopredeter"/>
    <w:uiPriority w:val="99"/>
    <w:semiHidden/>
    <w:unhideWhenUsed/>
    <w:rsid w:val="00A37F1C"/>
    <w:rPr>
      <w:sz w:val="16"/>
      <w:szCs w:val="16"/>
    </w:rPr>
  </w:style>
  <w:style w:type="paragraph" w:styleId="Textocomentario">
    <w:name w:val="annotation text"/>
    <w:basedOn w:val="Normal"/>
    <w:link w:val="TextocomentarioCar"/>
    <w:uiPriority w:val="99"/>
    <w:semiHidden/>
    <w:unhideWhenUsed/>
    <w:rsid w:val="00A37F1C"/>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A37F1C"/>
    <w:rPr>
      <w:sz w:val="20"/>
      <w:szCs w:val="20"/>
    </w:rPr>
  </w:style>
  <w:style w:type="paragraph" w:styleId="Asuntodelcomentario">
    <w:name w:val="annotation subject"/>
    <w:basedOn w:val="Textocomentario"/>
    <w:next w:val="Textocomentario"/>
    <w:link w:val="AsuntodelcomentarioCar"/>
    <w:uiPriority w:val="99"/>
    <w:semiHidden/>
    <w:unhideWhenUsed/>
    <w:rsid w:val="00A37F1C"/>
    <w:rPr>
      <w:b/>
      <w:bCs/>
    </w:rPr>
  </w:style>
  <w:style w:type="character" w:customStyle="1" w:styleId="AsuntodelcomentarioCar">
    <w:name w:val="Asunto del comentario Car"/>
    <w:basedOn w:val="TextocomentarioCar"/>
    <w:link w:val="Asuntodelcomentario"/>
    <w:uiPriority w:val="99"/>
    <w:semiHidden/>
    <w:rsid w:val="00A37F1C"/>
    <w:rPr>
      <w:b/>
      <w:bCs/>
      <w:sz w:val="20"/>
      <w:szCs w:val="20"/>
    </w:rPr>
  </w:style>
  <w:style w:type="paragraph" w:styleId="Textodeglobo">
    <w:name w:val="Balloon Text"/>
    <w:basedOn w:val="Normal"/>
    <w:link w:val="TextodegloboCar"/>
    <w:uiPriority w:val="99"/>
    <w:semiHidden/>
    <w:unhideWhenUsed/>
    <w:rsid w:val="00A37F1C"/>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A37F1C"/>
    <w:rPr>
      <w:rFonts w:ascii="Segoe UI" w:hAnsi="Segoe UI" w:cs="Segoe UI"/>
      <w:sz w:val="18"/>
      <w:szCs w:val="18"/>
    </w:rPr>
  </w:style>
  <w:style w:type="paragraph" w:styleId="Revisin">
    <w:name w:val="Revision"/>
    <w:hidden/>
    <w:uiPriority w:val="99"/>
    <w:semiHidden/>
    <w:rsid w:val="00207B39"/>
    <w:pPr>
      <w:spacing w:after="0" w:line="240" w:lineRule="auto"/>
    </w:pPr>
  </w:style>
  <w:style w:type="character" w:styleId="Nmerodepgina">
    <w:name w:val="page number"/>
    <w:basedOn w:val="Fuentedeprrafopredeter"/>
    <w:uiPriority w:val="99"/>
    <w:semiHidden/>
    <w:unhideWhenUsed/>
    <w:rsid w:val="00207B39"/>
  </w:style>
  <w:style w:type="table" w:customStyle="1" w:styleId="Tablaconcuadrcula1">
    <w:name w:val="Tabla con cuadrícula1"/>
    <w:basedOn w:val="Tablanormal"/>
    <w:next w:val="Tablaconcuadrcula"/>
    <w:uiPriority w:val="39"/>
    <w:rsid w:val="002B0BCD"/>
    <w:pPr>
      <w:spacing w:after="0" w:line="240" w:lineRule="auto"/>
    </w:pPr>
    <w:rPr>
      <w:rFonts w:ascii="Times New Roman" w:eastAsiaTheme="minorHAnsi" w:hAnsi="Times New Roman" w:cs="Courier New"/>
      <w:color w:val="000000"/>
      <w:kern w:val="2"/>
      <w:sz w:val="20"/>
      <w:szCs w:val="24"/>
      <w:lang w:val="es-CL" w:eastAsia="en-US"/>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13767912">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2.xml"/><Relationship Id="rId5" Type="http://schemas.openxmlformats.org/officeDocument/2006/relationships/settings" Target="settings.xml"/><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hP0+na2EzKJGTXtyBiP4O1QIuvwQ==">CgMxLjA4AHIhMVltSXRFbzFJV1VMdWoyZTdkNmJfUEpkVzVYa2Vsd1Q4</go:docsCustomData>
</go:gDocsCustomXmlDataStorage>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customXml/itemProps2.xml><?xml version="1.0" encoding="utf-8"?>
<ds:datastoreItem xmlns:ds="http://schemas.openxmlformats.org/officeDocument/2006/customXml" ds:itemID="{1740A427-F344-4AB6-A69D-3BD1FBB8088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27</TotalTime>
  <Pages>2</Pages>
  <Words>423</Words>
  <Characters>2330</Characters>
  <Application>Microsoft Office Word</Application>
  <DocSecurity>0</DocSecurity>
  <Lines>19</Lines>
  <Paragraphs>5</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2748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Moira Gutierrez Valdes</dc:creator>
  <cp:lastModifiedBy>Valeria Sepúlveda</cp:lastModifiedBy>
  <cp:revision>9</cp:revision>
  <dcterms:created xsi:type="dcterms:W3CDTF">2024-01-08T14:05:00Z</dcterms:created>
  <dcterms:modified xsi:type="dcterms:W3CDTF">2024-01-09T12:47:00Z</dcterms:modified>
</cp:coreProperties>
</file>